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3BA75">
      <w:pPr>
        <w:jc w:val="both"/>
        <w:rPr>
          <w:rFonts w:ascii="方正粗宋简体" w:hAnsi="黑体" w:eastAsia="方正粗宋简体"/>
          <w:b/>
          <w:sz w:val="28"/>
          <w:szCs w:val="28"/>
        </w:rPr>
      </w:pPr>
    </w:p>
    <w:p w14:paraId="34E93187">
      <w:pPr>
        <w:spacing w:line="900" w:lineRule="exact"/>
        <w:jc w:val="center"/>
        <w:rPr>
          <w:rFonts w:hint="eastAsia" w:ascii="方正小标宋简体" w:hAnsi="方正小标宋简体" w:eastAsia="方正小标宋简体" w:cs="方正小标宋简体"/>
          <w:bCs/>
          <w:color w:val="000000" w:themeColor="text1"/>
          <w:sz w:val="48"/>
          <w:szCs w:val="48"/>
        </w:rPr>
      </w:pPr>
      <w:r>
        <w:rPr>
          <w:rFonts w:hint="eastAsia" w:ascii="方正小标宋简体" w:hAnsi="方正小标宋简体" w:eastAsia="方正小标宋简体" w:cs="方正小标宋简体"/>
          <w:bCs/>
          <w:color w:val="000000" w:themeColor="text1"/>
          <w:sz w:val="48"/>
          <w:szCs w:val="48"/>
        </w:rPr>
        <w:t>锡林郭勒盟</w:t>
      </w:r>
      <w:r>
        <w:rPr>
          <w:rFonts w:hint="eastAsia" w:ascii="仿宋" w:hAnsi="仿宋" w:eastAsia="仿宋" w:cs="仿宋"/>
          <w:bCs/>
          <w:color w:val="000000" w:themeColor="text1"/>
          <w:sz w:val="48"/>
          <w:szCs w:val="48"/>
        </w:rPr>
        <w:t>“</w:t>
      </w:r>
      <w:r>
        <w:rPr>
          <w:rFonts w:hint="eastAsia" w:ascii="方正小标宋简体" w:hAnsi="方正小标宋简体" w:eastAsia="方正小标宋简体" w:cs="方正小标宋简体"/>
          <w:bCs/>
          <w:color w:val="000000" w:themeColor="text1"/>
          <w:sz w:val="48"/>
          <w:szCs w:val="48"/>
        </w:rPr>
        <w:t>十四五</w:t>
      </w:r>
      <w:r>
        <w:rPr>
          <w:rFonts w:hint="eastAsia" w:ascii="仿宋" w:hAnsi="仿宋" w:eastAsia="仿宋" w:cs="仿宋"/>
          <w:bCs/>
          <w:color w:val="000000" w:themeColor="text1"/>
          <w:sz w:val="48"/>
          <w:szCs w:val="48"/>
        </w:rPr>
        <w:t>”</w:t>
      </w:r>
      <w:r>
        <w:rPr>
          <w:rFonts w:hint="eastAsia" w:ascii="方正小标宋简体" w:hAnsi="方正小标宋简体" w:eastAsia="方正小标宋简体" w:cs="方正小标宋简体"/>
          <w:bCs/>
          <w:color w:val="000000" w:themeColor="text1"/>
          <w:sz w:val="48"/>
          <w:szCs w:val="48"/>
        </w:rPr>
        <w:t>推进农牧业</w:t>
      </w:r>
    </w:p>
    <w:p w14:paraId="134F467B">
      <w:pPr>
        <w:spacing w:line="900" w:lineRule="exact"/>
        <w:jc w:val="center"/>
        <w:rPr>
          <w:rFonts w:ascii="方正小标宋简体" w:hAnsi="方正小标宋简体" w:eastAsia="方正小标宋简体" w:cs="方正小标宋简体"/>
          <w:bCs/>
          <w:color w:val="000000" w:themeColor="text1"/>
          <w:sz w:val="48"/>
          <w:szCs w:val="48"/>
        </w:rPr>
      </w:pPr>
      <w:r>
        <w:rPr>
          <w:rFonts w:hint="eastAsia" w:ascii="方正小标宋简体" w:hAnsi="方正小标宋简体" w:eastAsia="方正小标宋简体" w:cs="方正小标宋简体"/>
          <w:bCs/>
          <w:color w:val="000000" w:themeColor="text1"/>
          <w:sz w:val="48"/>
          <w:szCs w:val="48"/>
        </w:rPr>
        <w:t>农村牧区现代化发展规划</w:t>
      </w:r>
    </w:p>
    <w:p w14:paraId="35BA67F6">
      <w:pPr>
        <w:pStyle w:val="2"/>
        <w:spacing w:before="156" w:beforeLines="50" w:line="900" w:lineRule="exact"/>
        <w:jc w:val="center"/>
        <w:rPr>
          <w:rFonts w:ascii="黑体" w:hAnsi="黑体" w:eastAsia="黑体"/>
          <w:b/>
          <w:sz w:val="28"/>
          <w:szCs w:val="28"/>
        </w:rPr>
      </w:pPr>
      <w:r>
        <w:rPr>
          <w:rFonts w:hint="eastAsia" w:ascii="方正小标宋简体" w:hAnsi="方正小标宋简体" w:eastAsia="方正小标宋简体" w:cs="方正小标宋简体"/>
          <w:bCs/>
          <w:color w:val="000000" w:themeColor="text1"/>
          <w:sz w:val="44"/>
          <w:szCs w:val="44"/>
        </w:rPr>
        <w:t>（2021—2025年）</w:t>
      </w:r>
    </w:p>
    <w:p w14:paraId="37FFFD75"/>
    <w:p w14:paraId="377ADFE0">
      <w:pPr>
        <w:pStyle w:val="2"/>
      </w:pPr>
    </w:p>
    <w:p w14:paraId="71F0FEA2"/>
    <w:p w14:paraId="7929C95D">
      <w:pPr>
        <w:rPr>
          <w:rFonts w:ascii="黑体" w:hAnsi="黑体" w:eastAsia="黑体"/>
          <w:b/>
          <w:sz w:val="28"/>
          <w:szCs w:val="28"/>
        </w:rPr>
      </w:pPr>
    </w:p>
    <w:p w14:paraId="07A5F9E6">
      <w:pPr>
        <w:pStyle w:val="2"/>
      </w:pPr>
    </w:p>
    <w:p w14:paraId="5756C2EB">
      <w:pPr>
        <w:pStyle w:val="2"/>
        <w:jc w:val="left"/>
        <w:rPr>
          <w:sz w:val="44"/>
          <w:szCs w:val="44"/>
        </w:rPr>
      </w:pPr>
    </w:p>
    <w:p w14:paraId="2567E551">
      <w:pPr>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2022年</w:t>
      </w:r>
      <w:r>
        <w:rPr>
          <w:rFonts w:hint="eastAsia" w:ascii="方正小标宋简体" w:hAnsi="方正小标宋简体" w:eastAsia="方正小标宋简体" w:cs="方正小标宋简体"/>
          <w:b w:val="0"/>
          <w:bCs w:val="0"/>
          <w:sz w:val="44"/>
          <w:szCs w:val="44"/>
          <w:lang w:val="en-US" w:eastAsia="zh-CN"/>
        </w:rPr>
        <w:t>4</w:t>
      </w:r>
      <w:r>
        <w:rPr>
          <w:rFonts w:hint="eastAsia" w:ascii="方正小标宋简体" w:hAnsi="方正小标宋简体" w:eastAsia="方正小标宋简体" w:cs="方正小标宋简体"/>
          <w:b w:val="0"/>
          <w:bCs w:val="0"/>
          <w:sz w:val="44"/>
          <w:szCs w:val="44"/>
        </w:rPr>
        <w:t>月</w:t>
      </w:r>
    </w:p>
    <w:p w14:paraId="19FEDA68">
      <w:pPr>
        <w:pStyle w:val="2"/>
        <w:spacing w:line="900" w:lineRule="exact"/>
        <w:sectPr>
          <w:footerReference r:id="rId3" w:type="even"/>
          <w:pgSz w:w="11900" w:h="16840"/>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sdt>
      <w:sdtPr>
        <w:rPr>
          <w:rFonts w:hint="eastAsia" w:ascii="方正小标宋简体" w:hAnsi="方正小标宋简体" w:eastAsia="方正小标宋简体" w:cs="方正小标宋简体"/>
          <w:kern w:val="2"/>
          <w:sz w:val="44"/>
          <w:szCs w:val="44"/>
          <w:lang w:val="en-US" w:eastAsia="zh-CN" w:bidi="ar-SA"/>
        </w:rPr>
        <w:id w:val="147476089"/>
        <w:docPartObj>
          <w:docPartGallery w:val="Table of Contents"/>
          <w:docPartUnique/>
        </w:docPartObj>
      </w:sdtPr>
      <w:sdtEndPr>
        <w:rPr>
          <w:rFonts w:hint="eastAsia" w:ascii="等线" w:hAnsi="等线" w:eastAsia="等线" w:cs="宋体"/>
          <w:kern w:val="2"/>
          <w:sz w:val="44"/>
          <w:szCs w:val="44"/>
          <w:lang w:val="en-US" w:eastAsia="zh-CN" w:bidi="ar-SA"/>
        </w:rPr>
      </w:sdtEndPr>
      <w:sdtContent>
        <w:p w14:paraId="7C028AAA">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bookmarkStart w:id="0" w:name="_Toc1310849214_WPSOffice_Type2"/>
          <w:bookmarkStart w:id="1" w:name="_Toc60561644"/>
          <w:bookmarkStart w:id="2" w:name="_Toc59000468"/>
          <w:bookmarkStart w:id="3" w:name="_Toc58870060"/>
          <w:bookmarkStart w:id="4" w:name="_Toc24731"/>
          <w:bookmarkStart w:id="5" w:name="_Toc24162"/>
          <w:bookmarkStart w:id="6" w:name="_Toc58870068"/>
          <w:bookmarkStart w:id="7" w:name="_Toc16327"/>
          <w:bookmarkStart w:id="8" w:name="_Toc31598"/>
          <w:bookmarkStart w:id="9" w:name="_Toc59000476"/>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75C9C5AB">
          <w:pPr>
            <w:pStyle w:val="47"/>
            <w:tabs>
              <w:tab w:val="right" w:leader="dot" w:pos="8300"/>
            </w:tabs>
            <w:rPr>
              <w:rFonts w:hint="eastAsia" w:ascii="宋体" w:hAnsi="宋体" w:eastAsia="宋体" w:cs="宋体"/>
              <w:sz w:val="32"/>
              <w:szCs w:val="32"/>
            </w:rPr>
          </w:pPr>
          <w:r>
            <w:rPr>
              <w:rFonts w:hint="eastAsia" w:ascii="宋体" w:hAnsi="宋体" w:eastAsia="宋体" w:cs="宋体"/>
              <w:b/>
              <w:bCs/>
              <w:sz w:val="32"/>
              <w:szCs w:val="32"/>
            </w:rPr>
            <w:fldChar w:fldCharType="begin"/>
          </w:r>
          <w:r>
            <w:rPr>
              <w:rFonts w:hint="eastAsia" w:ascii="宋体" w:hAnsi="宋体" w:eastAsia="宋体" w:cs="宋体"/>
              <w:sz w:val="32"/>
              <w:szCs w:val="32"/>
            </w:rPr>
            <w:instrText xml:space="preserve"> HYPERLINK \l _Toc729357472_WPSOffice_Level1 </w:instrText>
          </w:r>
          <w:r>
            <w:rPr>
              <w:rFonts w:hint="eastAsia" w:ascii="宋体" w:hAnsi="宋体" w:eastAsia="宋体" w:cs="宋体"/>
              <w:b/>
              <w:bCs/>
              <w:sz w:val="32"/>
              <w:szCs w:val="32"/>
            </w:rPr>
            <w:fldChar w:fldCharType="separate"/>
          </w:r>
          <w:sdt>
            <w:sdtPr>
              <w:rPr>
                <w:rFonts w:hint="eastAsia" w:ascii="宋体" w:hAnsi="宋体" w:eastAsia="宋体" w:cs="宋体"/>
                <w:b/>
                <w:bCs/>
                <w:kern w:val="2"/>
                <w:sz w:val="32"/>
                <w:szCs w:val="32"/>
                <w:lang w:val="en-US" w:eastAsia="zh-CN" w:bidi="ar-SA"/>
              </w:rPr>
              <w:id w:val="357570069"/>
              <w:placeholder>
                <w:docPart w:val="{44078201-c3b5-44c8-ac97-9206c593e9f6}"/>
              </w:placeholder>
            </w:sdtPr>
            <w:sdtEndPr>
              <w:rPr>
                <w:rFonts w:hint="eastAsia" w:ascii="宋体" w:hAnsi="宋体" w:eastAsia="宋体" w:cs="宋体"/>
                <w:b/>
                <w:bCs/>
                <w:kern w:val="2"/>
                <w:sz w:val="32"/>
                <w:szCs w:val="32"/>
                <w:lang w:val="en-US" w:eastAsia="zh-CN" w:bidi="ar-SA"/>
              </w:rPr>
            </w:sdtEndPr>
            <w:sdtContent>
              <w:r>
                <w:rPr>
                  <w:rFonts w:hint="eastAsia" w:ascii="宋体" w:hAnsi="宋体" w:eastAsia="宋体" w:cs="宋体"/>
                  <w:b/>
                  <w:bCs/>
                  <w:sz w:val="32"/>
                  <w:szCs w:val="32"/>
                </w:rPr>
                <w:t>前  言</w:t>
              </w:r>
            </w:sdtContent>
          </w:sdt>
          <w:r>
            <w:rPr>
              <w:rFonts w:hint="eastAsia" w:ascii="宋体" w:hAnsi="宋体" w:eastAsia="宋体" w:cs="宋体"/>
              <w:b/>
              <w:bCs/>
              <w:sz w:val="32"/>
              <w:szCs w:val="32"/>
            </w:rPr>
            <w:tab/>
          </w:r>
          <w:bookmarkStart w:id="10" w:name="_Toc729357472_WPSOffice_Level1Page"/>
          <w:r>
            <w:rPr>
              <w:rFonts w:hint="eastAsia" w:ascii="宋体" w:hAnsi="宋体" w:eastAsia="宋体" w:cs="宋体"/>
              <w:b/>
              <w:bCs/>
              <w:sz w:val="32"/>
              <w:szCs w:val="32"/>
            </w:rPr>
            <w:t>1</w:t>
          </w:r>
          <w:bookmarkEnd w:id="10"/>
          <w:r>
            <w:rPr>
              <w:rFonts w:hint="eastAsia" w:ascii="宋体" w:hAnsi="宋体" w:eastAsia="宋体" w:cs="宋体"/>
              <w:b/>
              <w:bCs/>
              <w:sz w:val="32"/>
              <w:szCs w:val="32"/>
            </w:rPr>
            <w:fldChar w:fldCharType="end"/>
          </w:r>
        </w:p>
        <w:p w14:paraId="118C2853">
          <w:pPr>
            <w:pStyle w:val="47"/>
            <w:tabs>
              <w:tab w:val="right" w:leader="dot" w:pos="8300"/>
            </w:tabs>
            <w:rPr>
              <w:rFonts w:hint="eastAsia" w:ascii="宋体" w:hAnsi="宋体" w:eastAsia="宋体" w:cs="宋体"/>
              <w:sz w:val="32"/>
              <w:szCs w:val="32"/>
            </w:rPr>
          </w:pPr>
          <w:r>
            <w:rPr>
              <w:rFonts w:hint="eastAsia" w:ascii="宋体" w:hAnsi="宋体" w:eastAsia="宋体" w:cs="宋体"/>
              <w:b/>
              <w:bCs/>
              <w:sz w:val="32"/>
              <w:szCs w:val="32"/>
            </w:rPr>
            <w:fldChar w:fldCharType="begin"/>
          </w:r>
          <w:r>
            <w:rPr>
              <w:rFonts w:hint="eastAsia" w:ascii="宋体" w:hAnsi="宋体" w:eastAsia="宋体" w:cs="宋体"/>
              <w:sz w:val="32"/>
              <w:szCs w:val="32"/>
            </w:rPr>
            <w:instrText xml:space="preserve"> HYPERLINK \l _Toc1310849214_WPSOffice_Level1 </w:instrText>
          </w:r>
          <w:r>
            <w:rPr>
              <w:rFonts w:hint="eastAsia" w:ascii="宋体" w:hAnsi="宋体" w:eastAsia="宋体" w:cs="宋体"/>
              <w:b/>
              <w:bCs/>
              <w:sz w:val="32"/>
              <w:szCs w:val="32"/>
            </w:rPr>
            <w:fldChar w:fldCharType="separate"/>
          </w:r>
          <w:sdt>
            <w:sdtPr>
              <w:rPr>
                <w:rFonts w:hint="eastAsia" w:ascii="宋体" w:hAnsi="宋体" w:eastAsia="宋体" w:cs="宋体"/>
                <w:b/>
                <w:bCs/>
                <w:kern w:val="2"/>
                <w:sz w:val="32"/>
                <w:szCs w:val="32"/>
                <w:lang w:val="en-US" w:eastAsia="zh-CN" w:bidi="ar-SA"/>
              </w:rPr>
              <w:id w:val="147481598"/>
              <w:placeholder>
                <w:docPart w:val="{77b10b90-ff35-456f-a258-953a1b93bd78}"/>
              </w:placeholder>
            </w:sdtPr>
            <w:sdtEndPr>
              <w:rPr>
                <w:rFonts w:hint="eastAsia" w:ascii="宋体" w:hAnsi="宋体" w:eastAsia="宋体" w:cs="宋体"/>
                <w:b/>
                <w:bCs/>
                <w:kern w:val="2"/>
                <w:sz w:val="32"/>
                <w:szCs w:val="32"/>
                <w:lang w:val="en-US" w:eastAsia="zh-CN" w:bidi="ar-SA"/>
              </w:rPr>
            </w:sdtEndPr>
            <w:sdtContent>
              <w:r>
                <w:rPr>
                  <w:rFonts w:hint="eastAsia" w:ascii="宋体" w:hAnsi="宋体" w:eastAsia="宋体" w:cs="宋体"/>
                  <w:b/>
                  <w:bCs/>
                  <w:sz w:val="32"/>
                  <w:szCs w:val="32"/>
                </w:rPr>
                <w:t>第一章 发展基础及环境</w:t>
              </w:r>
            </w:sdtContent>
          </w:sdt>
          <w:r>
            <w:rPr>
              <w:rFonts w:hint="eastAsia" w:ascii="宋体" w:hAnsi="宋体" w:eastAsia="宋体" w:cs="宋体"/>
              <w:b/>
              <w:bCs/>
              <w:sz w:val="32"/>
              <w:szCs w:val="32"/>
            </w:rPr>
            <w:tab/>
          </w:r>
          <w:bookmarkStart w:id="11" w:name="_Toc1310849214_WPSOffice_Level1Page"/>
          <w:r>
            <w:rPr>
              <w:rFonts w:hint="eastAsia" w:ascii="宋体" w:hAnsi="宋体" w:eastAsia="宋体" w:cs="宋体"/>
              <w:b/>
              <w:bCs/>
              <w:sz w:val="32"/>
              <w:szCs w:val="32"/>
            </w:rPr>
            <w:t>2</w:t>
          </w:r>
          <w:bookmarkEnd w:id="11"/>
          <w:r>
            <w:rPr>
              <w:rFonts w:hint="eastAsia" w:ascii="宋体" w:hAnsi="宋体" w:eastAsia="宋体" w:cs="宋体"/>
              <w:b/>
              <w:bCs/>
              <w:sz w:val="32"/>
              <w:szCs w:val="32"/>
            </w:rPr>
            <w:fldChar w:fldCharType="end"/>
          </w:r>
        </w:p>
        <w:p w14:paraId="32A6BF72">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_Toc1310849214_WPSOffice_Level2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60985"/>
              <w:placeholder>
                <w:docPart w:val="{402d8ef3-1d03-418b-a5a4-95dd3050e0a5}"/>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第一节 发展基础</w:t>
              </w:r>
            </w:sdtContent>
          </w:sdt>
          <w:r>
            <w:rPr>
              <w:rFonts w:hint="eastAsia" w:ascii="宋体" w:hAnsi="宋体" w:eastAsia="宋体" w:cs="宋体"/>
              <w:sz w:val="32"/>
              <w:szCs w:val="32"/>
            </w:rPr>
            <w:tab/>
          </w:r>
          <w:bookmarkStart w:id="12" w:name="_Toc1310849214_WPSOffice_Level2Page"/>
          <w:r>
            <w:rPr>
              <w:rFonts w:hint="eastAsia" w:ascii="宋体" w:hAnsi="宋体" w:eastAsia="宋体" w:cs="宋体"/>
              <w:sz w:val="32"/>
              <w:szCs w:val="32"/>
            </w:rPr>
            <w:t>2</w:t>
          </w:r>
          <w:bookmarkEnd w:id="12"/>
          <w:r>
            <w:rPr>
              <w:rFonts w:hint="eastAsia" w:ascii="宋体" w:hAnsi="宋体" w:eastAsia="宋体" w:cs="宋体"/>
              <w:sz w:val="32"/>
              <w:szCs w:val="32"/>
            </w:rPr>
            <w:fldChar w:fldCharType="end"/>
          </w:r>
        </w:p>
        <w:p w14:paraId="41EE4E7B">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_Toc71465642_WPSOffice_Level2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70211"/>
              <w:placeholder>
                <w:docPart w:val="{ef0dc8b2-ff06-4e28-b252-adf3ede7eff5}"/>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第二节 发展机遇</w:t>
              </w:r>
            </w:sdtContent>
          </w:sdt>
          <w:r>
            <w:rPr>
              <w:rFonts w:hint="eastAsia" w:ascii="宋体" w:hAnsi="宋体" w:eastAsia="宋体" w:cs="宋体"/>
              <w:sz w:val="32"/>
              <w:szCs w:val="32"/>
            </w:rPr>
            <w:tab/>
          </w:r>
          <w:r>
            <w:rPr>
              <w:rFonts w:hint="default" w:ascii="宋体" w:hAnsi="宋体" w:eastAsia="宋体" w:cs="宋体"/>
              <w:sz w:val="32"/>
              <w:szCs w:val="32"/>
              <w:lang w:val="en"/>
            </w:rPr>
            <w:t>4</w:t>
          </w:r>
          <w:r>
            <w:rPr>
              <w:rFonts w:hint="eastAsia" w:ascii="宋体" w:hAnsi="宋体" w:eastAsia="宋体" w:cs="宋体"/>
              <w:sz w:val="32"/>
              <w:szCs w:val="32"/>
            </w:rPr>
            <w:fldChar w:fldCharType="end"/>
          </w:r>
        </w:p>
        <w:p w14:paraId="39D8C13C">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_Toc29517728_WPSOffice_Level2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9143"/>
              <w:placeholder>
                <w:docPart w:val="{ecd0c986-df02-467c-852e-76f1475317d8}"/>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第三节 面临挑战</w:t>
              </w:r>
            </w:sdtContent>
          </w:sdt>
          <w:r>
            <w:rPr>
              <w:rFonts w:hint="eastAsia" w:ascii="宋体" w:hAnsi="宋体" w:eastAsia="宋体" w:cs="宋体"/>
              <w:sz w:val="32"/>
              <w:szCs w:val="32"/>
            </w:rPr>
            <w:tab/>
          </w:r>
          <w:r>
            <w:rPr>
              <w:rFonts w:hint="eastAsia" w:ascii="宋体" w:hAnsi="宋体" w:eastAsia="宋体" w:cs="宋体"/>
              <w:sz w:val="32"/>
              <w:szCs w:val="32"/>
              <w:lang w:val="en-US" w:eastAsia="zh-CN"/>
            </w:rPr>
            <w:t>6</w:t>
          </w:r>
          <w:r>
            <w:rPr>
              <w:rFonts w:hint="eastAsia" w:ascii="宋体" w:hAnsi="宋体" w:eastAsia="宋体" w:cs="宋体"/>
              <w:sz w:val="32"/>
              <w:szCs w:val="32"/>
            </w:rPr>
            <w:fldChar w:fldCharType="end"/>
          </w:r>
        </w:p>
        <w:p w14:paraId="5756E0D1">
          <w:pPr>
            <w:pStyle w:val="47"/>
            <w:tabs>
              <w:tab w:val="right" w:leader="dot" w:pos="8300"/>
            </w:tabs>
            <w:rPr>
              <w:rFonts w:hint="eastAsia" w:ascii="宋体" w:hAnsi="宋体" w:eastAsia="宋体" w:cs="宋体"/>
              <w:sz w:val="32"/>
              <w:szCs w:val="32"/>
            </w:rPr>
          </w:pPr>
          <w:r>
            <w:rPr>
              <w:rFonts w:hint="eastAsia" w:ascii="宋体" w:hAnsi="宋体" w:eastAsia="宋体" w:cs="宋体"/>
              <w:b/>
              <w:bCs/>
              <w:sz w:val="32"/>
              <w:szCs w:val="32"/>
            </w:rPr>
            <w:fldChar w:fldCharType="begin"/>
          </w:r>
          <w:r>
            <w:rPr>
              <w:rFonts w:hint="eastAsia" w:ascii="宋体" w:hAnsi="宋体" w:eastAsia="宋体" w:cs="宋体"/>
              <w:sz w:val="32"/>
              <w:szCs w:val="32"/>
            </w:rPr>
            <w:instrText xml:space="preserve"> HYPERLINK \l _Toc71465642_WPSOffice_Level1 </w:instrText>
          </w:r>
          <w:r>
            <w:rPr>
              <w:rFonts w:hint="eastAsia" w:ascii="宋体" w:hAnsi="宋体" w:eastAsia="宋体" w:cs="宋体"/>
              <w:b/>
              <w:bCs/>
              <w:sz w:val="32"/>
              <w:szCs w:val="32"/>
            </w:rPr>
            <w:fldChar w:fldCharType="separate"/>
          </w:r>
          <w:sdt>
            <w:sdtPr>
              <w:rPr>
                <w:rFonts w:hint="eastAsia" w:ascii="宋体" w:hAnsi="宋体" w:eastAsia="宋体" w:cs="宋体"/>
                <w:b/>
                <w:bCs/>
                <w:kern w:val="2"/>
                <w:sz w:val="32"/>
                <w:szCs w:val="32"/>
                <w:lang w:val="en-US" w:eastAsia="zh-CN" w:bidi="ar-SA"/>
              </w:rPr>
              <w:id w:val="147456612"/>
              <w:placeholder>
                <w:docPart w:val="{150df830-af07-43ea-91db-2f3a84a6249f}"/>
              </w:placeholder>
            </w:sdtPr>
            <w:sdtEndPr>
              <w:rPr>
                <w:rFonts w:hint="eastAsia" w:ascii="宋体" w:hAnsi="宋体" w:eastAsia="宋体" w:cs="宋体"/>
                <w:b/>
                <w:bCs/>
                <w:kern w:val="2"/>
                <w:sz w:val="32"/>
                <w:szCs w:val="32"/>
                <w:lang w:val="en-US" w:eastAsia="zh-CN" w:bidi="ar-SA"/>
              </w:rPr>
            </w:sdtEndPr>
            <w:sdtContent>
              <w:r>
                <w:rPr>
                  <w:rFonts w:hint="eastAsia" w:ascii="宋体" w:hAnsi="宋体" w:eastAsia="宋体" w:cs="宋体"/>
                  <w:b/>
                  <w:bCs/>
                  <w:sz w:val="32"/>
                  <w:szCs w:val="32"/>
                </w:rPr>
                <w:t>第二章 发展思路与目标</w:t>
              </w:r>
            </w:sdtContent>
          </w:sdt>
          <w:r>
            <w:rPr>
              <w:rFonts w:hint="eastAsia" w:ascii="宋体" w:hAnsi="宋体" w:eastAsia="宋体" w:cs="宋体"/>
              <w:b/>
              <w:bCs/>
              <w:sz w:val="32"/>
              <w:szCs w:val="32"/>
            </w:rPr>
            <w:tab/>
          </w:r>
          <w:bookmarkStart w:id="13" w:name="_Toc71465642_WPSOffice_Level1Page"/>
          <w:r>
            <w:rPr>
              <w:rFonts w:hint="eastAsia" w:ascii="宋体" w:hAnsi="宋体" w:eastAsia="宋体" w:cs="宋体"/>
              <w:b/>
              <w:bCs/>
              <w:sz w:val="32"/>
              <w:szCs w:val="32"/>
            </w:rPr>
            <w:t>9</w:t>
          </w:r>
          <w:bookmarkEnd w:id="13"/>
          <w:r>
            <w:rPr>
              <w:rFonts w:hint="eastAsia" w:ascii="宋体" w:hAnsi="宋体" w:eastAsia="宋体" w:cs="宋体"/>
              <w:b/>
              <w:bCs/>
              <w:sz w:val="32"/>
              <w:szCs w:val="32"/>
            </w:rPr>
            <w:fldChar w:fldCharType="end"/>
          </w:r>
        </w:p>
        <w:p w14:paraId="66C2AD23">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_Toc75046881_WPSOffice_Level2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79973"/>
              <w:placeholder>
                <w:docPart w:val="{8293f966-f653-498c-af5e-bf3617234f8e}"/>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第一节 战略导向</w:t>
              </w:r>
            </w:sdtContent>
          </w:sdt>
          <w:r>
            <w:rPr>
              <w:rFonts w:hint="eastAsia" w:ascii="宋体" w:hAnsi="宋体" w:eastAsia="宋体" w:cs="宋体"/>
              <w:sz w:val="32"/>
              <w:szCs w:val="32"/>
            </w:rPr>
            <w:tab/>
          </w:r>
          <w:bookmarkStart w:id="14" w:name="_Toc75046881_WPSOffice_Level2Page"/>
          <w:r>
            <w:rPr>
              <w:rFonts w:hint="eastAsia" w:ascii="宋体" w:hAnsi="宋体" w:eastAsia="宋体" w:cs="宋体"/>
              <w:sz w:val="32"/>
              <w:szCs w:val="32"/>
            </w:rPr>
            <w:t>9</w:t>
          </w:r>
          <w:bookmarkEnd w:id="14"/>
          <w:r>
            <w:rPr>
              <w:rFonts w:hint="eastAsia" w:ascii="宋体" w:hAnsi="宋体" w:eastAsia="宋体" w:cs="宋体"/>
              <w:sz w:val="32"/>
              <w:szCs w:val="32"/>
            </w:rPr>
            <w:fldChar w:fldCharType="end"/>
          </w:r>
        </w:p>
        <w:p w14:paraId="2C6D5FC5">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_Toc513815349_WPSOffice_Level2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6686"/>
              <w:placeholder>
                <w:docPart w:val="{bfbcb910-e671-450a-a3c1-1127d0ed241d}"/>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第二节 指导思想</w:t>
              </w:r>
            </w:sdtContent>
          </w:sdt>
          <w:r>
            <w:rPr>
              <w:rFonts w:hint="eastAsia" w:ascii="宋体" w:hAnsi="宋体" w:eastAsia="宋体" w:cs="宋体"/>
              <w:sz w:val="32"/>
              <w:szCs w:val="32"/>
            </w:rPr>
            <w:tab/>
          </w:r>
          <w:bookmarkStart w:id="15" w:name="_Toc513815349_WPSOffice_Level2Page"/>
          <w:r>
            <w:rPr>
              <w:rFonts w:hint="eastAsia" w:ascii="宋体" w:hAnsi="宋体" w:eastAsia="宋体" w:cs="宋体"/>
              <w:sz w:val="32"/>
              <w:szCs w:val="32"/>
            </w:rPr>
            <w:t>9</w:t>
          </w:r>
          <w:bookmarkEnd w:id="15"/>
          <w:r>
            <w:rPr>
              <w:rFonts w:hint="eastAsia" w:ascii="宋体" w:hAnsi="宋体" w:eastAsia="宋体" w:cs="宋体"/>
              <w:sz w:val="32"/>
              <w:szCs w:val="32"/>
            </w:rPr>
            <w:fldChar w:fldCharType="end"/>
          </w:r>
        </w:p>
        <w:p w14:paraId="66F1B91D">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_Toc654771145_WPSOffice_Level2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80702"/>
              <w:placeholder>
                <w:docPart w:val="{3e4ae584-1145-407b-b0ac-99f34b7b5302}"/>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第三节 基本原则</w:t>
              </w:r>
            </w:sdtContent>
          </w:sdt>
          <w:r>
            <w:rPr>
              <w:rFonts w:hint="eastAsia" w:ascii="宋体" w:hAnsi="宋体" w:eastAsia="宋体" w:cs="宋体"/>
              <w:sz w:val="32"/>
              <w:szCs w:val="32"/>
            </w:rPr>
            <w:tab/>
          </w:r>
          <w:bookmarkStart w:id="16" w:name="_Toc654771145_WPSOffice_Level2Page"/>
          <w:r>
            <w:rPr>
              <w:rFonts w:hint="eastAsia" w:ascii="宋体" w:hAnsi="宋体" w:eastAsia="宋体" w:cs="宋体"/>
              <w:sz w:val="32"/>
              <w:szCs w:val="32"/>
            </w:rPr>
            <w:t>10</w:t>
          </w:r>
          <w:bookmarkEnd w:id="16"/>
          <w:r>
            <w:rPr>
              <w:rFonts w:hint="eastAsia" w:ascii="宋体" w:hAnsi="宋体" w:eastAsia="宋体" w:cs="宋体"/>
              <w:sz w:val="32"/>
              <w:szCs w:val="32"/>
            </w:rPr>
            <w:fldChar w:fldCharType="end"/>
          </w:r>
        </w:p>
        <w:p w14:paraId="40869C63">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_Toc694231440_WPSOffice_Level2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75546"/>
              <w:placeholder>
                <w:docPart w:val="{c732f51c-097a-42bb-b808-223d7bb39b32}"/>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第四节 发展目标</w:t>
              </w:r>
            </w:sdtContent>
          </w:sdt>
          <w:r>
            <w:rPr>
              <w:rFonts w:hint="eastAsia" w:ascii="宋体" w:hAnsi="宋体" w:eastAsia="宋体" w:cs="宋体"/>
              <w:sz w:val="32"/>
              <w:szCs w:val="32"/>
            </w:rPr>
            <w:tab/>
          </w:r>
          <w:bookmarkStart w:id="17" w:name="_Toc694231440_WPSOffice_Level2Page"/>
          <w:r>
            <w:rPr>
              <w:rFonts w:hint="eastAsia" w:ascii="宋体" w:hAnsi="宋体" w:eastAsia="宋体" w:cs="宋体"/>
              <w:sz w:val="32"/>
              <w:szCs w:val="32"/>
            </w:rPr>
            <w:t>11</w:t>
          </w:r>
          <w:bookmarkEnd w:id="17"/>
          <w:r>
            <w:rPr>
              <w:rFonts w:hint="eastAsia" w:ascii="宋体" w:hAnsi="宋体" w:eastAsia="宋体" w:cs="宋体"/>
              <w:sz w:val="32"/>
              <w:szCs w:val="32"/>
            </w:rPr>
            <w:fldChar w:fldCharType="end"/>
          </w:r>
        </w:p>
        <w:p w14:paraId="09ED631F">
          <w:pPr>
            <w:pStyle w:val="47"/>
            <w:tabs>
              <w:tab w:val="right" w:leader="dot" w:pos="8300"/>
            </w:tabs>
            <w:rPr>
              <w:rFonts w:hint="eastAsia" w:ascii="宋体" w:hAnsi="宋体" w:eastAsia="宋体" w:cs="宋体"/>
              <w:sz w:val="32"/>
              <w:szCs w:val="32"/>
            </w:rPr>
          </w:pPr>
          <w:r>
            <w:rPr>
              <w:rFonts w:hint="eastAsia" w:ascii="宋体" w:hAnsi="宋体" w:eastAsia="宋体" w:cs="宋体"/>
              <w:b/>
              <w:bCs/>
              <w:sz w:val="32"/>
              <w:szCs w:val="32"/>
            </w:rPr>
            <w:fldChar w:fldCharType="begin"/>
          </w:r>
          <w:r>
            <w:rPr>
              <w:rFonts w:hint="eastAsia" w:ascii="宋体" w:hAnsi="宋体" w:eastAsia="宋体" w:cs="宋体"/>
              <w:sz w:val="32"/>
              <w:szCs w:val="32"/>
            </w:rPr>
            <w:instrText xml:space="preserve"> HYPERLINK \l _Toc29517728_WPSOffice_Level1 </w:instrText>
          </w:r>
          <w:r>
            <w:rPr>
              <w:rFonts w:hint="eastAsia" w:ascii="宋体" w:hAnsi="宋体" w:eastAsia="宋体" w:cs="宋体"/>
              <w:b/>
              <w:bCs/>
              <w:sz w:val="32"/>
              <w:szCs w:val="32"/>
            </w:rPr>
            <w:fldChar w:fldCharType="separate"/>
          </w:r>
          <w:sdt>
            <w:sdtPr>
              <w:rPr>
                <w:rFonts w:hint="eastAsia" w:ascii="宋体" w:hAnsi="宋体" w:eastAsia="宋体" w:cs="宋体"/>
                <w:b/>
                <w:bCs/>
                <w:kern w:val="2"/>
                <w:sz w:val="32"/>
                <w:szCs w:val="32"/>
                <w:lang w:val="en-US" w:eastAsia="zh-CN" w:bidi="ar-SA"/>
              </w:rPr>
              <w:id w:val="147453105"/>
              <w:placeholder>
                <w:docPart w:val="{02671a95-e925-4cf1-a0ba-b1bd4d3fc10b}"/>
              </w:placeholder>
            </w:sdtPr>
            <w:sdtEndPr>
              <w:rPr>
                <w:rFonts w:hint="eastAsia" w:ascii="宋体" w:hAnsi="宋体" w:eastAsia="宋体" w:cs="宋体"/>
                <w:b/>
                <w:bCs/>
                <w:kern w:val="2"/>
                <w:sz w:val="32"/>
                <w:szCs w:val="32"/>
                <w:lang w:val="en-US" w:eastAsia="zh-CN" w:bidi="ar-SA"/>
              </w:rPr>
            </w:sdtEndPr>
            <w:sdtContent>
              <w:r>
                <w:rPr>
                  <w:rFonts w:hint="eastAsia" w:ascii="宋体" w:hAnsi="宋体" w:eastAsia="宋体" w:cs="宋体"/>
                  <w:b/>
                  <w:bCs/>
                  <w:sz w:val="32"/>
                  <w:szCs w:val="32"/>
                </w:rPr>
                <w:t>第三章 打造优势特色农牧业</w:t>
              </w:r>
            </w:sdtContent>
          </w:sdt>
          <w:r>
            <w:rPr>
              <w:rFonts w:hint="eastAsia" w:ascii="宋体" w:hAnsi="宋体" w:eastAsia="宋体" w:cs="宋体"/>
              <w:b/>
              <w:bCs/>
              <w:sz w:val="32"/>
              <w:szCs w:val="32"/>
            </w:rPr>
            <w:tab/>
          </w:r>
          <w:bookmarkStart w:id="18" w:name="_Toc29517728_WPSOffice_Level1Page"/>
          <w:r>
            <w:rPr>
              <w:rFonts w:hint="eastAsia" w:ascii="宋体" w:hAnsi="宋体" w:eastAsia="宋体" w:cs="宋体"/>
              <w:b/>
              <w:bCs/>
              <w:sz w:val="32"/>
              <w:szCs w:val="32"/>
            </w:rPr>
            <w:t>13</w:t>
          </w:r>
          <w:bookmarkEnd w:id="18"/>
          <w:r>
            <w:rPr>
              <w:rFonts w:hint="eastAsia" w:ascii="宋体" w:hAnsi="宋体" w:eastAsia="宋体" w:cs="宋体"/>
              <w:b/>
              <w:bCs/>
              <w:sz w:val="32"/>
              <w:szCs w:val="32"/>
            </w:rPr>
            <w:fldChar w:fldCharType="end"/>
          </w:r>
        </w:p>
        <w:p w14:paraId="2FA513BF">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_Toc260404896_WPSOffice_Level2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7149"/>
              <w:placeholder>
                <w:docPart w:val="{d4d40a97-3a87-4756-be25-3916798a094f}"/>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第一节 做强优质肉羊产业</w:t>
              </w:r>
            </w:sdtContent>
          </w:sdt>
          <w:r>
            <w:rPr>
              <w:rFonts w:hint="eastAsia" w:ascii="宋体" w:hAnsi="宋体" w:eastAsia="宋体" w:cs="宋体"/>
              <w:sz w:val="32"/>
              <w:szCs w:val="32"/>
            </w:rPr>
            <w:tab/>
          </w:r>
          <w:bookmarkStart w:id="19" w:name="_Toc260404896_WPSOffice_Level2Page"/>
          <w:r>
            <w:rPr>
              <w:rFonts w:hint="eastAsia" w:ascii="宋体" w:hAnsi="宋体" w:eastAsia="宋体" w:cs="宋体"/>
              <w:sz w:val="32"/>
              <w:szCs w:val="32"/>
            </w:rPr>
            <w:t>13</w:t>
          </w:r>
          <w:bookmarkEnd w:id="19"/>
          <w:r>
            <w:rPr>
              <w:rFonts w:hint="eastAsia" w:ascii="宋体" w:hAnsi="宋体" w:eastAsia="宋体" w:cs="宋体"/>
              <w:sz w:val="32"/>
              <w:szCs w:val="32"/>
            </w:rPr>
            <w:fldChar w:fldCharType="end"/>
          </w:r>
        </w:p>
        <w:p w14:paraId="17BA870A">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_Toc752678536_WPSOffice_Level2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61361"/>
              <w:placeholder>
                <w:docPart w:val="{8acc5462-bdda-42b9-9192-964a05589a97}"/>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第二节 做大优质肉牛产业</w:t>
              </w:r>
            </w:sdtContent>
          </w:sdt>
          <w:r>
            <w:rPr>
              <w:rFonts w:hint="eastAsia" w:ascii="宋体" w:hAnsi="宋体" w:eastAsia="宋体" w:cs="宋体"/>
              <w:sz w:val="32"/>
              <w:szCs w:val="32"/>
            </w:rPr>
            <w:tab/>
          </w:r>
          <w:bookmarkStart w:id="20" w:name="_Toc752678536_WPSOffice_Level2Page"/>
          <w:r>
            <w:rPr>
              <w:rFonts w:hint="eastAsia" w:ascii="宋体" w:hAnsi="宋体" w:eastAsia="宋体" w:cs="宋体"/>
              <w:sz w:val="32"/>
              <w:szCs w:val="32"/>
            </w:rPr>
            <w:t>1</w:t>
          </w:r>
          <w:bookmarkEnd w:id="20"/>
          <w:r>
            <w:rPr>
              <w:rFonts w:hint="eastAsia" w:ascii="宋体" w:hAnsi="宋体" w:eastAsia="宋体" w:cs="宋体"/>
              <w:sz w:val="32"/>
              <w:szCs w:val="32"/>
              <w:lang w:val="en-US" w:eastAsia="zh-CN"/>
            </w:rPr>
            <w:t>4</w:t>
          </w:r>
          <w:r>
            <w:rPr>
              <w:rFonts w:hint="eastAsia" w:ascii="宋体" w:hAnsi="宋体" w:eastAsia="宋体" w:cs="宋体"/>
              <w:sz w:val="32"/>
              <w:szCs w:val="32"/>
            </w:rPr>
            <w:fldChar w:fldCharType="end"/>
          </w:r>
        </w:p>
        <w:p w14:paraId="0D7E3A46">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_Toc1369886222_WPSOffice_Level2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77787"/>
              <w:placeholder>
                <w:docPart w:val="{92816bf4-7c4b-45f3-9906-75cef37ccdbb}"/>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第三节 全面实施奶业振兴</w:t>
              </w:r>
            </w:sdtContent>
          </w:sdt>
          <w:r>
            <w:rPr>
              <w:rFonts w:hint="eastAsia" w:ascii="宋体" w:hAnsi="宋体" w:eastAsia="宋体" w:cs="宋体"/>
              <w:sz w:val="32"/>
              <w:szCs w:val="32"/>
            </w:rPr>
            <w:tab/>
          </w:r>
          <w:bookmarkStart w:id="21" w:name="_Toc1369886222_WPSOffice_Level2Page"/>
          <w:r>
            <w:rPr>
              <w:rFonts w:hint="eastAsia" w:ascii="宋体" w:hAnsi="宋体" w:eastAsia="宋体" w:cs="宋体"/>
              <w:sz w:val="32"/>
              <w:szCs w:val="32"/>
            </w:rPr>
            <w:t>16</w:t>
          </w:r>
          <w:bookmarkEnd w:id="21"/>
          <w:r>
            <w:rPr>
              <w:rFonts w:hint="eastAsia" w:ascii="宋体" w:hAnsi="宋体" w:eastAsia="宋体" w:cs="宋体"/>
              <w:sz w:val="32"/>
              <w:szCs w:val="32"/>
            </w:rPr>
            <w:fldChar w:fldCharType="end"/>
          </w:r>
        </w:p>
        <w:p w14:paraId="0C362425">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_Toc1348020955_WPSOffice_Level2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1102"/>
              <w:placeholder>
                <w:docPart w:val="{a39a60d4-a293-4865-a204-f6c4c6973bb2}"/>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第四节 做精特色畜牧业</w:t>
              </w:r>
            </w:sdtContent>
          </w:sdt>
          <w:r>
            <w:rPr>
              <w:rFonts w:hint="eastAsia" w:ascii="宋体" w:hAnsi="宋体" w:eastAsia="宋体" w:cs="宋体"/>
              <w:sz w:val="32"/>
              <w:szCs w:val="32"/>
            </w:rPr>
            <w:tab/>
          </w:r>
          <w:bookmarkStart w:id="22" w:name="_Toc1348020955_WPSOffice_Level2Page"/>
          <w:r>
            <w:rPr>
              <w:rFonts w:hint="eastAsia" w:ascii="宋体" w:hAnsi="宋体" w:eastAsia="宋体" w:cs="宋体"/>
              <w:sz w:val="32"/>
              <w:szCs w:val="32"/>
            </w:rPr>
            <w:t>17</w:t>
          </w:r>
          <w:bookmarkEnd w:id="22"/>
          <w:r>
            <w:rPr>
              <w:rFonts w:hint="eastAsia" w:ascii="宋体" w:hAnsi="宋体" w:eastAsia="宋体" w:cs="宋体"/>
              <w:sz w:val="32"/>
              <w:szCs w:val="32"/>
            </w:rPr>
            <w:fldChar w:fldCharType="end"/>
          </w:r>
        </w:p>
        <w:p w14:paraId="13748B81">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_Toc1561949597_WPSOffice_Level2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78115"/>
              <w:placeholder>
                <w:docPart w:val="{adf47556-a381-460a-a1d3-1c15998d318b}"/>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第五节 做优特色种植业</w:t>
              </w:r>
            </w:sdtContent>
          </w:sdt>
          <w:r>
            <w:rPr>
              <w:rFonts w:hint="eastAsia" w:ascii="宋体" w:hAnsi="宋体" w:eastAsia="宋体" w:cs="宋体"/>
              <w:sz w:val="32"/>
              <w:szCs w:val="32"/>
            </w:rPr>
            <w:tab/>
          </w:r>
          <w:bookmarkStart w:id="23" w:name="_Toc1561949597_WPSOffice_Level2Page"/>
          <w:r>
            <w:rPr>
              <w:rFonts w:hint="eastAsia" w:ascii="宋体" w:hAnsi="宋体" w:eastAsia="宋体" w:cs="宋体"/>
              <w:sz w:val="32"/>
              <w:szCs w:val="32"/>
            </w:rPr>
            <w:t>18</w:t>
          </w:r>
          <w:bookmarkEnd w:id="23"/>
          <w:r>
            <w:rPr>
              <w:rFonts w:hint="eastAsia" w:ascii="宋体" w:hAnsi="宋体" w:eastAsia="宋体" w:cs="宋体"/>
              <w:sz w:val="32"/>
              <w:szCs w:val="32"/>
            </w:rPr>
            <w:fldChar w:fldCharType="end"/>
          </w:r>
        </w:p>
        <w:p w14:paraId="45A291A8">
          <w:pPr>
            <w:pStyle w:val="47"/>
            <w:tabs>
              <w:tab w:val="right" w:leader="dot" w:pos="8300"/>
            </w:tabs>
            <w:rPr>
              <w:rFonts w:hint="eastAsia" w:ascii="宋体" w:hAnsi="宋体" w:eastAsia="宋体" w:cs="宋体"/>
              <w:sz w:val="32"/>
              <w:szCs w:val="32"/>
            </w:rPr>
          </w:pPr>
          <w:r>
            <w:rPr>
              <w:rFonts w:hint="eastAsia" w:ascii="宋体" w:hAnsi="宋体" w:eastAsia="宋体" w:cs="宋体"/>
              <w:b/>
              <w:bCs/>
              <w:sz w:val="32"/>
              <w:szCs w:val="32"/>
            </w:rPr>
            <w:fldChar w:fldCharType="begin"/>
          </w:r>
          <w:r>
            <w:rPr>
              <w:rFonts w:hint="eastAsia" w:ascii="宋体" w:hAnsi="宋体" w:eastAsia="宋体" w:cs="宋体"/>
              <w:sz w:val="32"/>
              <w:szCs w:val="32"/>
            </w:rPr>
            <w:instrText xml:space="preserve"> HYPERLINK \l _Toc75046881_WPSOffice_Level1 </w:instrText>
          </w:r>
          <w:r>
            <w:rPr>
              <w:rFonts w:hint="eastAsia" w:ascii="宋体" w:hAnsi="宋体" w:eastAsia="宋体" w:cs="宋体"/>
              <w:b/>
              <w:bCs/>
              <w:sz w:val="32"/>
              <w:szCs w:val="32"/>
            </w:rPr>
            <w:fldChar w:fldCharType="separate"/>
          </w:r>
          <w:sdt>
            <w:sdtPr>
              <w:rPr>
                <w:rFonts w:hint="eastAsia" w:ascii="宋体" w:hAnsi="宋体" w:eastAsia="宋体" w:cs="宋体"/>
                <w:b/>
                <w:bCs/>
                <w:kern w:val="2"/>
                <w:sz w:val="32"/>
                <w:szCs w:val="32"/>
                <w:lang w:val="en-US" w:eastAsia="zh-CN" w:bidi="ar-SA"/>
              </w:rPr>
              <w:id w:val="147462846"/>
              <w:placeholder>
                <w:docPart w:val="{62967227-a27e-40c8-83e8-f16640266b2e}"/>
              </w:placeholder>
            </w:sdtPr>
            <w:sdtEndPr>
              <w:rPr>
                <w:rFonts w:hint="eastAsia" w:ascii="宋体" w:hAnsi="宋体" w:eastAsia="宋体" w:cs="宋体"/>
                <w:b/>
                <w:bCs/>
                <w:kern w:val="2"/>
                <w:sz w:val="32"/>
                <w:szCs w:val="32"/>
                <w:lang w:val="en-US" w:eastAsia="zh-CN" w:bidi="ar-SA"/>
              </w:rPr>
            </w:sdtEndPr>
            <w:sdtContent>
              <w:r>
                <w:rPr>
                  <w:rFonts w:hint="eastAsia" w:ascii="宋体" w:hAnsi="宋体" w:eastAsia="宋体" w:cs="宋体"/>
                  <w:b/>
                  <w:bCs/>
                  <w:sz w:val="32"/>
                  <w:szCs w:val="32"/>
                </w:rPr>
                <w:t>第四章 推动农村牧区</w:t>
              </w:r>
              <w:r>
                <w:rPr>
                  <w:rFonts w:hint="eastAsia" w:ascii="宋体" w:hAnsi="宋体" w:cs="宋体"/>
                  <w:b/>
                  <w:bCs/>
                  <w:sz w:val="32"/>
                  <w:szCs w:val="32"/>
                  <w:lang w:eastAsia="zh-CN"/>
                </w:rPr>
                <w:t>一二三</w:t>
              </w:r>
              <w:r>
                <w:rPr>
                  <w:rFonts w:hint="eastAsia" w:ascii="宋体" w:hAnsi="宋体" w:eastAsia="宋体" w:cs="宋体"/>
                  <w:b/>
                  <w:bCs/>
                  <w:sz w:val="32"/>
                  <w:szCs w:val="32"/>
                </w:rPr>
                <w:t>产业融合发展</w:t>
              </w:r>
            </w:sdtContent>
          </w:sdt>
          <w:r>
            <w:rPr>
              <w:rFonts w:hint="eastAsia" w:ascii="宋体" w:hAnsi="宋体" w:eastAsia="宋体" w:cs="宋体"/>
              <w:b/>
              <w:bCs/>
              <w:sz w:val="32"/>
              <w:szCs w:val="32"/>
            </w:rPr>
            <w:tab/>
          </w:r>
          <w:bookmarkStart w:id="24" w:name="_Toc75046881_WPSOffice_Level1Page"/>
          <w:r>
            <w:rPr>
              <w:rFonts w:hint="eastAsia" w:ascii="宋体" w:hAnsi="宋体" w:eastAsia="宋体" w:cs="宋体"/>
              <w:b/>
              <w:bCs/>
              <w:sz w:val="32"/>
              <w:szCs w:val="32"/>
            </w:rPr>
            <w:t>2</w:t>
          </w:r>
          <w:bookmarkEnd w:id="24"/>
          <w:r>
            <w:rPr>
              <w:rFonts w:hint="eastAsia" w:ascii="宋体" w:hAnsi="宋体" w:cs="宋体"/>
              <w:b/>
              <w:bCs/>
              <w:sz w:val="32"/>
              <w:szCs w:val="32"/>
              <w:lang w:val="en-US" w:eastAsia="zh-CN"/>
            </w:rPr>
            <w:t>1</w:t>
          </w:r>
          <w:r>
            <w:rPr>
              <w:rFonts w:hint="eastAsia" w:ascii="宋体" w:hAnsi="宋体" w:eastAsia="宋体" w:cs="宋体"/>
              <w:b/>
              <w:bCs/>
              <w:sz w:val="32"/>
              <w:szCs w:val="32"/>
            </w:rPr>
            <w:fldChar w:fldCharType="end"/>
          </w:r>
        </w:p>
        <w:p w14:paraId="5032F940">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_Toc1806403098_WPSOffice_Level2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76734"/>
              <w:placeholder>
                <w:docPart w:val="{e236c5ac-d724-4518-a436-43a97523126e}"/>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第一节 加快推进农牧产业集群发展</w:t>
              </w:r>
            </w:sdtContent>
          </w:sdt>
          <w:r>
            <w:rPr>
              <w:rFonts w:hint="eastAsia" w:ascii="宋体" w:hAnsi="宋体" w:eastAsia="宋体" w:cs="宋体"/>
              <w:sz w:val="32"/>
              <w:szCs w:val="32"/>
            </w:rPr>
            <w:tab/>
          </w:r>
          <w:bookmarkStart w:id="25" w:name="_Toc1806403098_WPSOffice_Level2Page"/>
          <w:r>
            <w:rPr>
              <w:rFonts w:hint="eastAsia" w:ascii="宋体" w:hAnsi="宋体" w:eastAsia="宋体" w:cs="宋体"/>
              <w:sz w:val="32"/>
              <w:szCs w:val="32"/>
            </w:rPr>
            <w:t>2</w:t>
          </w:r>
          <w:bookmarkEnd w:id="25"/>
          <w:r>
            <w:rPr>
              <w:rFonts w:hint="eastAsia" w:ascii="宋体" w:hAnsi="宋体" w:eastAsia="宋体" w:cs="宋体"/>
              <w:sz w:val="32"/>
              <w:szCs w:val="32"/>
              <w:lang w:val="en-US" w:eastAsia="zh-CN"/>
            </w:rPr>
            <w:t>1</w:t>
          </w:r>
          <w:r>
            <w:rPr>
              <w:rFonts w:hint="eastAsia" w:ascii="宋体" w:hAnsi="宋体" w:eastAsia="宋体" w:cs="宋体"/>
              <w:sz w:val="32"/>
              <w:szCs w:val="32"/>
            </w:rPr>
            <w:fldChar w:fldCharType="end"/>
          </w:r>
        </w:p>
        <w:p w14:paraId="30E3ADEC">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_Toc725736920_WPSOffice_Level2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77018"/>
              <w:placeholder>
                <w:docPart w:val="{fda8cd7a-401c-49df-ba05-750bf4ada8db}"/>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第二节 提升农畜产品加工能力和水平</w:t>
              </w:r>
            </w:sdtContent>
          </w:sdt>
          <w:r>
            <w:rPr>
              <w:rFonts w:hint="eastAsia" w:ascii="宋体" w:hAnsi="宋体" w:eastAsia="宋体" w:cs="宋体"/>
              <w:sz w:val="32"/>
              <w:szCs w:val="32"/>
            </w:rPr>
            <w:tab/>
          </w:r>
          <w:bookmarkStart w:id="26" w:name="_Toc725736920_WPSOffice_Level2Page"/>
          <w:r>
            <w:rPr>
              <w:rFonts w:hint="eastAsia" w:ascii="宋体" w:hAnsi="宋体" w:eastAsia="宋体" w:cs="宋体"/>
              <w:sz w:val="32"/>
              <w:szCs w:val="32"/>
            </w:rPr>
            <w:t>2</w:t>
          </w:r>
          <w:bookmarkEnd w:id="26"/>
          <w:r>
            <w:rPr>
              <w:rFonts w:hint="eastAsia" w:ascii="宋体" w:hAnsi="宋体" w:eastAsia="宋体" w:cs="宋体"/>
              <w:sz w:val="32"/>
              <w:szCs w:val="32"/>
              <w:lang w:val="en-US" w:eastAsia="zh-CN"/>
            </w:rPr>
            <w:t>2</w:t>
          </w:r>
          <w:r>
            <w:rPr>
              <w:rFonts w:hint="eastAsia" w:ascii="宋体" w:hAnsi="宋体" w:eastAsia="宋体" w:cs="宋体"/>
              <w:sz w:val="32"/>
              <w:szCs w:val="32"/>
            </w:rPr>
            <w:fldChar w:fldCharType="end"/>
          </w:r>
        </w:p>
        <w:p w14:paraId="382E9335">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_Toc2023337273_WPSOffice_Level2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62591"/>
              <w:placeholder>
                <w:docPart w:val="{da30d7ce-83ca-4caf-8ade-c3d3d5de8afe}"/>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第三节 完善农畜产品流通体系</w:t>
              </w:r>
            </w:sdtContent>
          </w:sdt>
          <w:r>
            <w:rPr>
              <w:rFonts w:hint="eastAsia" w:ascii="宋体" w:hAnsi="宋体" w:eastAsia="宋体" w:cs="宋体"/>
              <w:sz w:val="32"/>
              <w:szCs w:val="32"/>
            </w:rPr>
            <w:tab/>
          </w:r>
          <w:bookmarkStart w:id="27" w:name="_Toc2023337273_WPSOffice_Level2Page"/>
          <w:r>
            <w:rPr>
              <w:rFonts w:hint="eastAsia" w:ascii="宋体" w:hAnsi="宋体" w:eastAsia="宋体" w:cs="宋体"/>
              <w:sz w:val="32"/>
              <w:szCs w:val="32"/>
            </w:rPr>
            <w:t>2</w:t>
          </w:r>
          <w:bookmarkEnd w:id="27"/>
          <w:r>
            <w:rPr>
              <w:rFonts w:hint="eastAsia" w:ascii="宋体" w:hAnsi="宋体" w:eastAsia="宋体" w:cs="宋体"/>
              <w:sz w:val="32"/>
              <w:szCs w:val="32"/>
              <w:lang w:val="en-US" w:eastAsia="zh-CN"/>
            </w:rPr>
            <w:t>4</w:t>
          </w:r>
          <w:r>
            <w:rPr>
              <w:rFonts w:hint="eastAsia" w:ascii="宋体" w:hAnsi="宋体" w:eastAsia="宋体" w:cs="宋体"/>
              <w:sz w:val="32"/>
              <w:szCs w:val="32"/>
            </w:rPr>
            <w:fldChar w:fldCharType="end"/>
          </w:r>
        </w:p>
        <w:p w14:paraId="5D64E81E">
          <w:pPr>
            <w:pStyle w:val="43"/>
            <w:tabs>
              <w:tab w:val="right" w:leader="dot" w:pos="8300"/>
            </w:tabs>
            <w:rPr>
              <w:rFonts w:hint="eastAsia" w:ascii="宋体" w:hAnsi="宋体" w:eastAsia="宋体" w:cs="宋体"/>
              <w:sz w:val="32"/>
              <w:szCs w:val="32"/>
            </w:rPr>
            <w:sectPr>
              <w:footerReference r:id="rId4" w:type="default"/>
              <w:pgSz w:w="11900" w:h="16840"/>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3DA1CC48">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_Toc2128170646_WPSOffice_Level2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5537"/>
              <w:placeholder>
                <w:docPart w:val="{0d79452a-4e50-4190-aa91-363727d11321}"/>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第四节 发展农村牧区休闲旅游</w:t>
              </w:r>
            </w:sdtContent>
          </w:sdt>
          <w:r>
            <w:rPr>
              <w:rFonts w:hint="eastAsia" w:ascii="宋体" w:hAnsi="宋体" w:eastAsia="宋体" w:cs="宋体"/>
              <w:sz w:val="32"/>
              <w:szCs w:val="32"/>
            </w:rPr>
            <w:tab/>
          </w:r>
          <w:bookmarkStart w:id="28" w:name="_Toc2128170646_WPSOffice_Level2Page"/>
          <w:r>
            <w:rPr>
              <w:rFonts w:hint="eastAsia" w:ascii="宋体" w:hAnsi="宋体" w:eastAsia="宋体" w:cs="宋体"/>
              <w:sz w:val="32"/>
              <w:szCs w:val="32"/>
            </w:rPr>
            <w:t>2</w:t>
          </w:r>
          <w:bookmarkEnd w:id="28"/>
          <w:r>
            <w:rPr>
              <w:rFonts w:hint="eastAsia" w:ascii="宋体" w:hAnsi="宋体" w:eastAsia="宋体" w:cs="宋体"/>
              <w:sz w:val="32"/>
              <w:szCs w:val="32"/>
              <w:lang w:val="en-US" w:eastAsia="zh-CN"/>
            </w:rPr>
            <w:t>5</w:t>
          </w:r>
          <w:r>
            <w:rPr>
              <w:rFonts w:hint="eastAsia" w:ascii="宋体" w:hAnsi="宋体" w:eastAsia="宋体" w:cs="宋体"/>
              <w:sz w:val="32"/>
              <w:szCs w:val="32"/>
            </w:rPr>
            <w:fldChar w:fldCharType="end"/>
          </w:r>
        </w:p>
        <w:p w14:paraId="199730C8">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_Toc1158793739_WPSOffice_Level2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8509"/>
              <w:placeholder>
                <w:docPart w:val="{c5984c0b-6ea7-41be-8304-dac904641be6}"/>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第五节 培育农畜产品区域公用品牌</w:t>
              </w:r>
            </w:sdtContent>
          </w:sdt>
          <w:r>
            <w:rPr>
              <w:rFonts w:hint="eastAsia" w:ascii="宋体" w:hAnsi="宋体" w:eastAsia="宋体" w:cs="宋体"/>
              <w:sz w:val="32"/>
              <w:szCs w:val="32"/>
            </w:rPr>
            <w:tab/>
          </w:r>
          <w:bookmarkStart w:id="29" w:name="_Toc1158793739_WPSOffice_Level2Page"/>
          <w:r>
            <w:rPr>
              <w:rFonts w:hint="eastAsia" w:ascii="宋体" w:hAnsi="宋体" w:eastAsia="宋体" w:cs="宋体"/>
              <w:sz w:val="32"/>
              <w:szCs w:val="32"/>
            </w:rPr>
            <w:t>2</w:t>
          </w:r>
          <w:bookmarkEnd w:id="29"/>
          <w:r>
            <w:rPr>
              <w:rFonts w:hint="eastAsia" w:ascii="宋体" w:hAnsi="宋体" w:eastAsia="宋体" w:cs="宋体"/>
              <w:sz w:val="32"/>
              <w:szCs w:val="32"/>
              <w:lang w:val="en-US" w:eastAsia="zh-CN"/>
            </w:rPr>
            <w:t>6</w:t>
          </w:r>
          <w:r>
            <w:rPr>
              <w:rFonts w:hint="eastAsia" w:ascii="宋体" w:hAnsi="宋体" w:eastAsia="宋体" w:cs="宋体"/>
              <w:sz w:val="32"/>
              <w:szCs w:val="32"/>
            </w:rPr>
            <w:fldChar w:fldCharType="end"/>
          </w:r>
        </w:p>
        <w:p w14:paraId="0FD27856">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_Toc348925602_WPSOffice_Level2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71090"/>
              <w:placeholder>
                <w:docPart w:val="{2a7d2a54-f57a-4f98-a722-44eea55ffe3e}"/>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第六节 健全现代农牧业经营体系</w:t>
              </w:r>
            </w:sdtContent>
          </w:sdt>
          <w:r>
            <w:rPr>
              <w:rFonts w:hint="eastAsia" w:ascii="宋体" w:hAnsi="宋体" w:eastAsia="宋体" w:cs="宋体"/>
              <w:sz w:val="32"/>
              <w:szCs w:val="32"/>
            </w:rPr>
            <w:tab/>
          </w:r>
          <w:bookmarkStart w:id="30" w:name="_Toc348925602_WPSOffice_Level2Page"/>
          <w:r>
            <w:rPr>
              <w:rFonts w:hint="eastAsia" w:ascii="宋体" w:hAnsi="宋体" w:eastAsia="宋体" w:cs="宋体"/>
              <w:sz w:val="32"/>
              <w:szCs w:val="32"/>
            </w:rPr>
            <w:t>2</w:t>
          </w:r>
          <w:bookmarkEnd w:id="30"/>
          <w:r>
            <w:rPr>
              <w:rFonts w:hint="eastAsia" w:ascii="宋体" w:hAnsi="宋体" w:eastAsia="宋体" w:cs="宋体"/>
              <w:sz w:val="32"/>
              <w:szCs w:val="32"/>
              <w:lang w:val="en-US" w:eastAsia="zh-CN"/>
            </w:rPr>
            <w:t>8</w:t>
          </w:r>
          <w:r>
            <w:rPr>
              <w:rFonts w:hint="eastAsia" w:ascii="宋体" w:hAnsi="宋体" w:eastAsia="宋体" w:cs="宋体"/>
              <w:sz w:val="32"/>
              <w:szCs w:val="32"/>
            </w:rPr>
            <w:fldChar w:fldCharType="end"/>
          </w:r>
        </w:p>
        <w:p w14:paraId="630707AA">
          <w:pPr>
            <w:pStyle w:val="47"/>
            <w:tabs>
              <w:tab w:val="right" w:leader="dot" w:pos="8300"/>
            </w:tabs>
            <w:rPr>
              <w:rFonts w:hint="eastAsia" w:ascii="宋体" w:hAnsi="宋体" w:eastAsia="宋体" w:cs="宋体"/>
              <w:sz w:val="32"/>
              <w:szCs w:val="32"/>
            </w:rPr>
          </w:pPr>
          <w:r>
            <w:rPr>
              <w:rFonts w:hint="eastAsia" w:ascii="宋体" w:hAnsi="宋体" w:eastAsia="宋体" w:cs="宋体"/>
              <w:b/>
              <w:bCs/>
              <w:sz w:val="32"/>
              <w:szCs w:val="32"/>
            </w:rPr>
            <w:fldChar w:fldCharType="begin"/>
          </w:r>
          <w:r>
            <w:rPr>
              <w:rFonts w:hint="eastAsia" w:ascii="宋体" w:hAnsi="宋体" w:eastAsia="宋体" w:cs="宋体"/>
              <w:sz w:val="32"/>
              <w:szCs w:val="32"/>
            </w:rPr>
            <w:instrText xml:space="preserve"> HYPERLINK \l _Toc513815349_WPSOffice_Level1 </w:instrText>
          </w:r>
          <w:r>
            <w:rPr>
              <w:rFonts w:hint="eastAsia" w:ascii="宋体" w:hAnsi="宋体" w:eastAsia="宋体" w:cs="宋体"/>
              <w:b/>
              <w:bCs/>
              <w:sz w:val="32"/>
              <w:szCs w:val="32"/>
            </w:rPr>
            <w:fldChar w:fldCharType="separate"/>
          </w:r>
          <w:sdt>
            <w:sdtPr>
              <w:rPr>
                <w:rFonts w:hint="eastAsia" w:ascii="宋体" w:hAnsi="宋体" w:eastAsia="宋体" w:cs="宋体"/>
                <w:b/>
                <w:bCs/>
                <w:kern w:val="2"/>
                <w:sz w:val="32"/>
                <w:szCs w:val="32"/>
                <w:lang w:val="en-US" w:eastAsia="zh-CN" w:bidi="ar-SA"/>
              </w:rPr>
              <w:id w:val="147451681"/>
              <w:placeholder>
                <w:docPart w:val="{e6e79112-70d7-407c-88ee-17c05900dccb}"/>
              </w:placeholder>
            </w:sdtPr>
            <w:sdtEndPr>
              <w:rPr>
                <w:rFonts w:hint="eastAsia" w:ascii="宋体" w:hAnsi="宋体" w:eastAsia="宋体" w:cs="宋体"/>
                <w:b/>
                <w:bCs/>
                <w:kern w:val="2"/>
                <w:sz w:val="32"/>
                <w:szCs w:val="32"/>
                <w:lang w:val="en-US" w:eastAsia="zh-CN" w:bidi="ar-SA"/>
              </w:rPr>
            </w:sdtEndPr>
            <w:sdtContent>
              <w:r>
                <w:rPr>
                  <w:rFonts w:hint="eastAsia" w:ascii="宋体" w:hAnsi="宋体" w:eastAsia="宋体" w:cs="宋体"/>
                  <w:b/>
                  <w:bCs/>
                  <w:sz w:val="32"/>
                  <w:szCs w:val="32"/>
                </w:rPr>
                <w:t>第五章 科学统筹发展和安全</w:t>
              </w:r>
            </w:sdtContent>
          </w:sdt>
          <w:r>
            <w:rPr>
              <w:rFonts w:hint="eastAsia" w:ascii="宋体" w:hAnsi="宋体" w:eastAsia="宋体" w:cs="宋体"/>
              <w:b/>
              <w:bCs/>
              <w:sz w:val="32"/>
              <w:szCs w:val="32"/>
            </w:rPr>
            <w:tab/>
          </w:r>
          <w:bookmarkStart w:id="31" w:name="_Toc513815349_WPSOffice_Level1Page"/>
          <w:r>
            <w:rPr>
              <w:rFonts w:hint="eastAsia" w:ascii="宋体" w:hAnsi="宋体" w:eastAsia="宋体" w:cs="宋体"/>
              <w:b/>
              <w:bCs/>
              <w:sz w:val="32"/>
              <w:szCs w:val="32"/>
            </w:rPr>
            <w:t>3</w:t>
          </w:r>
          <w:bookmarkEnd w:id="31"/>
          <w:r>
            <w:rPr>
              <w:rFonts w:hint="eastAsia" w:ascii="宋体" w:hAnsi="宋体" w:cs="宋体"/>
              <w:b/>
              <w:bCs/>
              <w:sz w:val="32"/>
              <w:szCs w:val="32"/>
              <w:lang w:val="en-US" w:eastAsia="zh-CN"/>
            </w:rPr>
            <w:t>3</w:t>
          </w:r>
          <w:r>
            <w:rPr>
              <w:rFonts w:hint="eastAsia" w:ascii="宋体" w:hAnsi="宋体" w:eastAsia="宋体" w:cs="宋体"/>
              <w:b/>
              <w:bCs/>
              <w:sz w:val="32"/>
              <w:szCs w:val="32"/>
            </w:rPr>
            <w:fldChar w:fldCharType="end"/>
          </w:r>
        </w:p>
        <w:p w14:paraId="6A365166">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_Toc1129464945_WPSOffice_Level2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2175"/>
              <w:placeholder>
                <w:docPart w:val="{39c6b829-e7ff-4757-9ab9-be2eeef169bb}"/>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第一节 提高粮食安全保障能力</w:t>
              </w:r>
            </w:sdtContent>
          </w:sdt>
          <w:r>
            <w:rPr>
              <w:rFonts w:hint="eastAsia" w:ascii="宋体" w:hAnsi="宋体" w:eastAsia="宋体" w:cs="宋体"/>
              <w:sz w:val="32"/>
              <w:szCs w:val="32"/>
            </w:rPr>
            <w:tab/>
          </w:r>
          <w:bookmarkStart w:id="32" w:name="_Toc1129464945_WPSOffice_Level2Page"/>
          <w:r>
            <w:rPr>
              <w:rFonts w:hint="eastAsia" w:ascii="宋体" w:hAnsi="宋体" w:eastAsia="宋体" w:cs="宋体"/>
              <w:sz w:val="32"/>
              <w:szCs w:val="32"/>
            </w:rPr>
            <w:t>3</w:t>
          </w:r>
          <w:bookmarkEnd w:id="32"/>
          <w:r>
            <w:rPr>
              <w:rFonts w:hint="eastAsia" w:ascii="宋体" w:hAnsi="宋体" w:eastAsia="宋体" w:cs="宋体"/>
              <w:sz w:val="32"/>
              <w:szCs w:val="32"/>
              <w:lang w:val="en-US" w:eastAsia="zh-CN"/>
            </w:rPr>
            <w:t>3</w:t>
          </w:r>
          <w:r>
            <w:rPr>
              <w:rFonts w:hint="eastAsia" w:ascii="宋体" w:hAnsi="宋体" w:eastAsia="宋体" w:cs="宋体"/>
              <w:sz w:val="32"/>
              <w:szCs w:val="32"/>
            </w:rPr>
            <w:fldChar w:fldCharType="end"/>
          </w:r>
        </w:p>
        <w:p w14:paraId="354CDB5A">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_Toc150721879_WPSOffice_Level2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1881"/>
              <w:placeholder>
                <w:docPart w:val="{6b7228c2-e7d0-434f-bceb-8be26b3bed2e}"/>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第二节 实施种业振兴行动</w:t>
              </w:r>
            </w:sdtContent>
          </w:sdt>
          <w:r>
            <w:rPr>
              <w:rFonts w:hint="eastAsia" w:ascii="宋体" w:hAnsi="宋体" w:eastAsia="宋体" w:cs="宋体"/>
              <w:sz w:val="32"/>
              <w:szCs w:val="32"/>
            </w:rPr>
            <w:tab/>
          </w:r>
          <w:bookmarkStart w:id="33" w:name="_Toc150721879_WPSOffice_Level2Page"/>
          <w:r>
            <w:rPr>
              <w:rFonts w:hint="eastAsia" w:ascii="宋体" w:hAnsi="宋体" w:eastAsia="宋体" w:cs="宋体"/>
              <w:sz w:val="32"/>
              <w:szCs w:val="32"/>
            </w:rPr>
            <w:t>3</w:t>
          </w:r>
          <w:bookmarkEnd w:id="33"/>
          <w:r>
            <w:rPr>
              <w:rFonts w:hint="eastAsia" w:ascii="宋体" w:hAnsi="宋体" w:eastAsia="宋体" w:cs="宋体"/>
              <w:sz w:val="32"/>
              <w:szCs w:val="32"/>
              <w:lang w:val="en-US" w:eastAsia="zh-CN"/>
            </w:rPr>
            <w:t>4</w:t>
          </w:r>
          <w:r>
            <w:rPr>
              <w:rFonts w:hint="eastAsia" w:ascii="宋体" w:hAnsi="宋体" w:eastAsia="宋体" w:cs="宋体"/>
              <w:sz w:val="32"/>
              <w:szCs w:val="32"/>
            </w:rPr>
            <w:fldChar w:fldCharType="end"/>
          </w:r>
        </w:p>
        <w:p w14:paraId="4AF3217E">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_Toc773067800_WPSOffice_Level2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7337"/>
              <w:placeholder>
                <w:docPart w:val="{76aaa111-28f3-451f-b414-b9f0894ae276}"/>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第三节 加强农牧业科技支撑能力建设</w:t>
              </w:r>
            </w:sdtContent>
          </w:sdt>
          <w:r>
            <w:rPr>
              <w:rFonts w:hint="eastAsia" w:ascii="宋体" w:hAnsi="宋体" w:eastAsia="宋体" w:cs="宋体"/>
              <w:sz w:val="32"/>
              <w:szCs w:val="32"/>
            </w:rPr>
            <w:tab/>
          </w:r>
          <w:bookmarkStart w:id="34" w:name="_Toc773067800_WPSOffice_Level2Page"/>
          <w:r>
            <w:rPr>
              <w:rFonts w:hint="eastAsia" w:ascii="宋体" w:hAnsi="宋体" w:eastAsia="宋体" w:cs="宋体"/>
              <w:sz w:val="32"/>
              <w:szCs w:val="32"/>
            </w:rPr>
            <w:t>3</w:t>
          </w:r>
          <w:bookmarkEnd w:id="34"/>
          <w:r>
            <w:rPr>
              <w:rFonts w:hint="eastAsia" w:ascii="宋体" w:hAnsi="宋体" w:eastAsia="宋体" w:cs="宋体"/>
              <w:sz w:val="32"/>
              <w:szCs w:val="32"/>
              <w:lang w:val="en-US" w:eastAsia="zh-CN"/>
            </w:rPr>
            <w:t>5</w:t>
          </w:r>
          <w:r>
            <w:rPr>
              <w:rFonts w:hint="eastAsia" w:ascii="宋体" w:hAnsi="宋体" w:eastAsia="宋体" w:cs="宋体"/>
              <w:sz w:val="32"/>
              <w:szCs w:val="32"/>
            </w:rPr>
            <w:fldChar w:fldCharType="end"/>
          </w:r>
        </w:p>
        <w:p w14:paraId="69B3349E">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_Toc1193121066_WPSOffice_Level2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1966"/>
              <w:placeholder>
                <w:docPart w:val="{39416ccd-6c09-43c2-91d8-869eaea396d6}"/>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第四节 加强农村牧区人才队伍建设</w:t>
              </w:r>
            </w:sdtContent>
          </w:sdt>
          <w:r>
            <w:rPr>
              <w:rFonts w:hint="eastAsia" w:ascii="宋体" w:hAnsi="宋体" w:eastAsia="宋体" w:cs="宋体"/>
              <w:sz w:val="32"/>
              <w:szCs w:val="32"/>
            </w:rPr>
            <w:tab/>
          </w:r>
          <w:bookmarkStart w:id="35" w:name="_Toc1193121066_WPSOffice_Level2Page"/>
          <w:r>
            <w:rPr>
              <w:rFonts w:hint="eastAsia" w:ascii="宋体" w:hAnsi="宋体" w:eastAsia="宋体" w:cs="宋体"/>
              <w:sz w:val="32"/>
              <w:szCs w:val="32"/>
            </w:rPr>
            <w:t>3</w:t>
          </w:r>
          <w:bookmarkEnd w:id="35"/>
          <w:r>
            <w:rPr>
              <w:rFonts w:hint="eastAsia" w:ascii="宋体" w:hAnsi="宋体" w:eastAsia="宋体" w:cs="宋体"/>
              <w:sz w:val="32"/>
              <w:szCs w:val="32"/>
              <w:lang w:val="en-US" w:eastAsia="zh-CN"/>
            </w:rPr>
            <w:t>7</w:t>
          </w:r>
          <w:r>
            <w:rPr>
              <w:rFonts w:hint="eastAsia" w:ascii="宋体" w:hAnsi="宋体" w:eastAsia="宋体" w:cs="宋体"/>
              <w:sz w:val="32"/>
              <w:szCs w:val="32"/>
            </w:rPr>
            <w:fldChar w:fldCharType="end"/>
          </w:r>
        </w:p>
        <w:p w14:paraId="10F3EF65">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_Toc1878107605_WPSOffice_Level2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75620"/>
              <w:placeholder>
                <w:docPart w:val="{a84d65fb-ca37-45f4-a884-c794803be395}"/>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第五节 强化动植物疫病防控体系建设</w:t>
              </w:r>
            </w:sdtContent>
          </w:sdt>
          <w:r>
            <w:rPr>
              <w:rFonts w:hint="eastAsia" w:ascii="宋体" w:hAnsi="宋体" w:eastAsia="宋体" w:cs="宋体"/>
              <w:sz w:val="32"/>
              <w:szCs w:val="32"/>
            </w:rPr>
            <w:tab/>
          </w:r>
          <w:bookmarkStart w:id="36" w:name="_Toc1878107605_WPSOffice_Level2Page"/>
          <w:r>
            <w:rPr>
              <w:rFonts w:hint="eastAsia" w:ascii="宋体" w:hAnsi="宋体" w:eastAsia="宋体" w:cs="宋体"/>
              <w:sz w:val="32"/>
              <w:szCs w:val="32"/>
            </w:rPr>
            <w:t>4</w:t>
          </w:r>
          <w:bookmarkEnd w:id="36"/>
          <w:r>
            <w:rPr>
              <w:rFonts w:hint="eastAsia" w:ascii="宋体" w:hAnsi="宋体" w:eastAsia="宋体" w:cs="宋体"/>
              <w:sz w:val="32"/>
              <w:szCs w:val="32"/>
              <w:lang w:val="en-US" w:eastAsia="zh-CN"/>
            </w:rPr>
            <w:t>0</w:t>
          </w:r>
          <w:r>
            <w:rPr>
              <w:rFonts w:hint="eastAsia" w:ascii="宋体" w:hAnsi="宋体" w:eastAsia="宋体" w:cs="宋体"/>
              <w:sz w:val="32"/>
              <w:szCs w:val="32"/>
            </w:rPr>
            <w:fldChar w:fldCharType="end"/>
          </w:r>
        </w:p>
        <w:p w14:paraId="066A1A92">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_Toc1139926503_WPSOffice_Level2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73439"/>
              <w:placeholder>
                <w:docPart w:val="{3e3a0d7e-7bca-4fcc-a5de-cb5b2ce4e378}"/>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第六节 健全农畜产品质量安全监管体系</w:t>
              </w:r>
            </w:sdtContent>
          </w:sdt>
          <w:r>
            <w:rPr>
              <w:rFonts w:hint="eastAsia" w:ascii="宋体" w:hAnsi="宋体" w:eastAsia="宋体" w:cs="宋体"/>
              <w:sz w:val="32"/>
              <w:szCs w:val="32"/>
            </w:rPr>
            <w:tab/>
          </w:r>
          <w:bookmarkStart w:id="37" w:name="_Toc1139926503_WPSOffice_Level2Page"/>
          <w:r>
            <w:rPr>
              <w:rFonts w:hint="eastAsia" w:ascii="宋体" w:hAnsi="宋体" w:eastAsia="宋体" w:cs="宋体"/>
              <w:sz w:val="32"/>
              <w:szCs w:val="32"/>
            </w:rPr>
            <w:t>4</w:t>
          </w:r>
          <w:bookmarkEnd w:id="37"/>
          <w:r>
            <w:rPr>
              <w:rFonts w:hint="eastAsia" w:ascii="宋体" w:hAnsi="宋体" w:eastAsia="宋体" w:cs="宋体"/>
              <w:sz w:val="32"/>
              <w:szCs w:val="32"/>
              <w:lang w:val="en-US" w:eastAsia="zh-CN"/>
            </w:rPr>
            <w:t>1</w:t>
          </w:r>
          <w:r>
            <w:rPr>
              <w:rFonts w:hint="eastAsia" w:ascii="宋体" w:hAnsi="宋体" w:eastAsia="宋体" w:cs="宋体"/>
              <w:sz w:val="32"/>
              <w:szCs w:val="32"/>
            </w:rPr>
            <w:fldChar w:fldCharType="end"/>
          </w:r>
        </w:p>
        <w:p w14:paraId="7BB766AD">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_Toc1296573012_WPSOffice_Level2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74548"/>
              <w:placeholder>
                <w:docPart w:val="{a14400e6-613a-476c-bb82-a9bb7dfcd43c}"/>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第七节 增强农牧业抗风险能力</w:t>
              </w:r>
            </w:sdtContent>
          </w:sdt>
          <w:r>
            <w:rPr>
              <w:rFonts w:hint="eastAsia" w:ascii="宋体" w:hAnsi="宋体" w:eastAsia="宋体" w:cs="宋体"/>
              <w:sz w:val="32"/>
              <w:szCs w:val="32"/>
            </w:rPr>
            <w:tab/>
          </w:r>
          <w:bookmarkStart w:id="38" w:name="_Toc1296573012_WPSOffice_Level2Page"/>
          <w:r>
            <w:rPr>
              <w:rFonts w:hint="eastAsia" w:ascii="宋体" w:hAnsi="宋体" w:eastAsia="宋体" w:cs="宋体"/>
              <w:sz w:val="32"/>
              <w:szCs w:val="32"/>
            </w:rPr>
            <w:t>4</w:t>
          </w:r>
          <w:bookmarkEnd w:id="38"/>
          <w:r>
            <w:rPr>
              <w:rFonts w:hint="eastAsia" w:ascii="宋体" w:hAnsi="宋体" w:eastAsia="宋体" w:cs="宋体"/>
              <w:sz w:val="32"/>
              <w:szCs w:val="32"/>
              <w:lang w:val="en-US" w:eastAsia="zh-CN"/>
            </w:rPr>
            <w:t>2</w:t>
          </w:r>
          <w:r>
            <w:rPr>
              <w:rFonts w:hint="eastAsia" w:ascii="宋体" w:hAnsi="宋体" w:eastAsia="宋体" w:cs="宋体"/>
              <w:sz w:val="32"/>
              <w:szCs w:val="32"/>
            </w:rPr>
            <w:fldChar w:fldCharType="end"/>
          </w:r>
        </w:p>
        <w:p w14:paraId="0B83D315">
          <w:pPr>
            <w:pStyle w:val="47"/>
            <w:tabs>
              <w:tab w:val="right" w:leader="dot" w:pos="8300"/>
            </w:tabs>
            <w:rPr>
              <w:rFonts w:hint="eastAsia" w:ascii="宋体" w:hAnsi="宋体" w:eastAsia="宋体" w:cs="宋体"/>
              <w:sz w:val="32"/>
              <w:szCs w:val="32"/>
            </w:rPr>
          </w:pPr>
          <w:r>
            <w:rPr>
              <w:rFonts w:hint="eastAsia" w:ascii="宋体" w:hAnsi="宋体" w:eastAsia="宋体" w:cs="宋体"/>
              <w:b/>
              <w:bCs/>
              <w:sz w:val="32"/>
              <w:szCs w:val="32"/>
            </w:rPr>
            <w:fldChar w:fldCharType="begin"/>
          </w:r>
          <w:r>
            <w:rPr>
              <w:rFonts w:hint="eastAsia" w:ascii="宋体" w:hAnsi="宋体" w:eastAsia="宋体" w:cs="宋体"/>
              <w:sz w:val="32"/>
              <w:szCs w:val="32"/>
            </w:rPr>
            <w:instrText xml:space="preserve"> HYPERLINK \l _Toc654771145_WPSOffice_Level1 </w:instrText>
          </w:r>
          <w:r>
            <w:rPr>
              <w:rFonts w:hint="eastAsia" w:ascii="宋体" w:hAnsi="宋体" w:eastAsia="宋体" w:cs="宋体"/>
              <w:b/>
              <w:bCs/>
              <w:sz w:val="32"/>
              <w:szCs w:val="32"/>
            </w:rPr>
            <w:fldChar w:fldCharType="separate"/>
          </w:r>
          <w:sdt>
            <w:sdtPr>
              <w:rPr>
                <w:rFonts w:hint="eastAsia" w:ascii="宋体" w:hAnsi="宋体" w:eastAsia="宋体" w:cs="宋体"/>
                <w:b/>
                <w:bCs/>
                <w:kern w:val="2"/>
                <w:sz w:val="32"/>
                <w:szCs w:val="32"/>
                <w:lang w:val="en-US" w:eastAsia="zh-CN" w:bidi="ar-SA"/>
              </w:rPr>
              <w:id w:val="147458227"/>
              <w:placeholder>
                <w:docPart w:val="{30164f50-162d-494b-a316-b19c6ac12390}"/>
              </w:placeholder>
            </w:sdtPr>
            <w:sdtEndPr>
              <w:rPr>
                <w:rFonts w:hint="eastAsia" w:ascii="宋体" w:hAnsi="宋体" w:eastAsia="宋体" w:cs="宋体"/>
                <w:b/>
                <w:bCs/>
                <w:kern w:val="2"/>
                <w:sz w:val="32"/>
                <w:szCs w:val="32"/>
                <w:lang w:val="en-US" w:eastAsia="zh-CN" w:bidi="ar-SA"/>
              </w:rPr>
            </w:sdtEndPr>
            <w:sdtContent>
              <w:r>
                <w:rPr>
                  <w:rFonts w:hint="eastAsia" w:ascii="宋体" w:hAnsi="宋体" w:eastAsia="宋体" w:cs="宋体"/>
                  <w:b/>
                  <w:bCs/>
                  <w:sz w:val="32"/>
                  <w:szCs w:val="32"/>
                </w:rPr>
                <w:t>第六章 实施乡村建设行动</w:t>
              </w:r>
            </w:sdtContent>
          </w:sdt>
          <w:r>
            <w:rPr>
              <w:rFonts w:hint="eastAsia" w:ascii="宋体" w:hAnsi="宋体" w:eastAsia="宋体" w:cs="宋体"/>
              <w:b/>
              <w:bCs/>
              <w:sz w:val="32"/>
              <w:szCs w:val="32"/>
            </w:rPr>
            <w:tab/>
          </w:r>
          <w:bookmarkStart w:id="39" w:name="_Toc654771145_WPSOffice_Level1Page"/>
          <w:r>
            <w:rPr>
              <w:rFonts w:hint="eastAsia" w:ascii="宋体" w:hAnsi="宋体" w:eastAsia="宋体" w:cs="宋体"/>
              <w:b/>
              <w:bCs/>
              <w:sz w:val="32"/>
              <w:szCs w:val="32"/>
            </w:rPr>
            <w:t>4</w:t>
          </w:r>
          <w:bookmarkEnd w:id="39"/>
          <w:r>
            <w:rPr>
              <w:rFonts w:hint="eastAsia" w:ascii="宋体" w:hAnsi="宋体" w:cs="宋体"/>
              <w:b/>
              <w:bCs/>
              <w:sz w:val="32"/>
              <w:szCs w:val="32"/>
              <w:lang w:val="en-US" w:eastAsia="zh-CN"/>
            </w:rPr>
            <w:t>5</w:t>
          </w:r>
          <w:r>
            <w:rPr>
              <w:rFonts w:hint="eastAsia" w:ascii="宋体" w:hAnsi="宋体" w:eastAsia="宋体" w:cs="宋体"/>
              <w:b/>
              <w:bCs/>
              <w:sz w:val="32"/>
              <w:szCs w:val="32"/>
            </w:rPr>
            <w:fldChar w:fldCharType="end"/>
          </w:r>
        </w:p>
        <w:p w14:paraId="1C0C068A">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_Toc1092903030_WPSOffice_Level2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3838"/>
              <w:placeholder>
                <w:docPart w:val="{44232531-da07-44d4-9cc3-6d761aa54ed1}"/>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第一节 科学规划嘎查村建设</w:t>
              </w:r>
            </w:sdtContent>
          </w:sdt>
          <w:r>
            <w:rPr>
              <w:rFonts w:hint="eastAsia" w:ascii="宋体" w:hAnsi="宋体" w:eastAsia="宋体" w:cs="宋体"/>
              <w:sz w:val="32"/>
              <w:szCs w:val="32"/>
            </w:rPr>
            <w:tab/>
          </w:r>
          <w:bookmarkStart w:id="40" w:name="_Toc1092903030_WPSOffice_Level2Page"/>
          <w:r>
            <w:rPr>
              <w:rFonts w:hint="eastAsia" w:ascii="宋体" w:hAnsi="宋体" w:eastAsia="宋体" w:cs="宋体"/>
              <w:sz w:val="32"/>
              <w:szCs w:val="32"/>
            </w:rPr>
            <w:t>4</w:t>
          </w:r>
          <w:bookmarkEnd w:id="40"/>
          <w:r>
            <w:rPr>
              <w:rFonts w:hint="eastAsia" w:ascii="宋体" w:hAnsi="宋体" w:eastAsia="宋体" w:cs="宋体"/>
              <w:sz w:val="32"/>
              <w:szCs w:val="32"/>
              <w:lang w:val="en-US" w:eastAsia="zh-CN"/>
            </w:rPr>
            <w:t>5</w:t>
          </w:r>
          <w:r>
            <w:rPr>
              <w:rFonts w:hint="eastAsia" w:ascii="宋体" w:hAnsi="宋体" w:eastAsia="宋体" w:cs="宋体"/>
              <w:sz w:val="32"/>
              <w:szCs w:val="32"/>
            </w:rPr>
            <w:fldChar w:fldCharType="end"/>
          </w:r>
        </w:p>
        <w:p w14:paraId="20613C65">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_Toc1210452737_WPSOffice_Level2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61704"/>
              <w:placeholder>
                <w:docPart w:val="{9336547f-7b78-4773-ac58-fcf2d05a5d2e}"/>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第二节 加强农村牧区基础设施建设</w:t>
              </w:r>
            </w:sdtContent>
          </w:sdt>
          <w:r>
            <w:rPr>
              <w:rFonts w:hint="eastAsia" w:ascii="宋体" w:hAnsi="宋体" w:eastAsia="宋体" w:cs="宋体"/>
              <w:sz w:val="32"/>
              <w:szCs w:val="32"/>
            </w:rPr>
            <w:tab/>
          </w:r>
          <w:bookmarkStart w:id="41" w:name="_Toc1210452737_WPSOffice_Level2Page"/>
          <w:r>
            <w:rPr>
              <w:rFonts w:hint="eastAsia" w:ascii="宋体" w:hAnsi="宋体" w:eastAsia="宋体" w:cs="宋体"/>
              <w:sz w:val="32"/>
              <w:szCs w:val="32"/>
            </w:rPr>
            <w:t>4</w:t>
          </w:r>
          <w:bookmarkEnd w:id="41"/>
          <w:r>
            <w:rPr>
              <w:rFonts w:hint="eastAsia" w:ascii="宋体" w:hAnsi="宋体" w:eastAsia="宋体" w:cs="宋体"/>
              <w:sz w:val="32"/>
              <w:szCs w:val="32"/>
              <w:lang w:val="en-US" w:eastAsia="zh-CN"/>
            </w:rPr>
            <w:t>5</w:t>
          </w:r>
          <w:r>
            <w:rPr>
              <w:rFonts w:hint="eastAsia" w:ascii="宋体" w:hAnsi="宋体" w:eastAsia="宋体" w:cs="宋体"/>
              <w:sz w:val="32"/>
              <w:szCs w:val="32"/>
            </w:rPr>
            <w:fldChar w:fldCharType="end"/>
          </w:r>
        </w:p>
        <w:p w14:paraId="0BA5BE74">
          <w:pPr>
            <w:pStyle w:val="43"/>
            <w:tabs>
              <w:tab w:val="right" w:leader="dot" w:pos="8300"/>
            </w:tabs>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_Toc761344192_WPSOffice_Level2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74956"/>
              <w:placeholder>
                <w:docPart w:val="{4a4728f6-93db-4cf7-97e9-2f0c63333c86}"/>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 xml:space="preserve">第三节 </w:t>
              </w:r>
              <w:r>
                <w:rPr>
                  <w:rFonts w:hint="eastAsia" w:ascii="宋体" w:hAnsi="宋体" w:eastAsia="宋体" w:cs="宋体"/>
                  <w:sz w:val="32"/>
                  <w:szCs w:val="32"/>
                  <w:lang w:eastAsia="zh-CN"/>
                </w:rPr>
                <w:t>整治</w:t>
              </w:r>
              <w:r>
                <w:rPr>
                  <w:rFonts w:hint="eastAsia" w:ascii="宋体" w:hAnsi="宋体" w:eastAsia="宋体" w:cs="宋体"/>
                  <w:sz w:val="32"/>
                  <w:szCs w:val="32"/>
                </w:rPr>
                <w:t>提升农村牧区人居环境</w:t>
              </w:r>
            </w:sdtContent>
          </w:sdt>
          <w:r>
            <w:rPr>
              <w:rFonts w:hint="eastAsia" w:ascii="宋体" w:hAnsi="宋体" w:eastAsia="宋体" w:cs="宋体"/>
              <w:sz w:val="32"/>
              <w:szCs w:val="32"/>
            </w:rPr>
            <w:tab/>
          </w:r>
          <w:r>
            <w:rPr>
              <w:rFonts w:hint="eastAsia" w:ascii="宋体" w:hAnsi="宋体" w:eastAsia="宋体" w:cs="宋体"/>
              <w:sz w:val="32"/>
              <w:szCs w:val="32"/>
              <w:lang w:val="en-US" w:eastAsia="zh-CN"/>
            </w:rPr>
            <w:t>4</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t>8</w:t>
          </w:r>
        </w:p>
        <w:p w14:paraId="2BD9115F">
          <w:pPr>
            <w:pStyle w:val="43"/>
            <w:tabs>
              <w:tab w:val="right" w:leader="dot" w:pos="8300"/>
            </w:tabs>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_Toc877078608_WPSOffice_Level2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74812"/>
              <w:placeholder>
                <w:docPart w:val="{dd63d9ce-9b3e-4b62-992c-b768ce91f2f5}"/>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第四节 加强农村牧区生态文明建设</w:t>
              </w:r>
            </w:sdtContent>
          </w:sdt>
          <w:r>
            <w:rPr>
              <w:rFonts w:hint="eastAsia" w:ascii="宋体" w:hAnsi="宋体" w:eastAsia="宋体" w:cs="宋体"/>
              <w:sz w:val="32"/>
              <w:szCs w:val="32"/>
            </w:rPr>
            <w:tab/>
          </w:r>
          <w:r>
            <w:rPr>
              <w:rFonts w:hint="eastAsia" w:ascii="宋体" w:hAnsi="宋体" w:eastAsia="宋体" w:cs="宋体"/>
              <w:sz w:val="32"/>
              <w:szCs w:val="32"/>
              <w:lang w:val="en-US" w:eastAsia="zh-CN"/>
            </w:rPr>
            <w:t>4</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t>9</w:t>
          </w:r>
        </w:p>
        <w:p w14:paraId="78A2C5D9">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_Toc734447694_WPSOffice_Level2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79367"/>
              <w:placeholder>
                <w:docPart w:val="{4fdcda58-8023-436d-a5d3-5596b9a1d498}"/>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第五节 提高公共服务供给能力</w:t>
              </w:r>
            </w:sdtContent>
          </w:sdt>
          <w:r>
            <w:rPr>
              <w:rFonts w:hint="eastAsia" w:ascii="宋体" w:hAnsi="宋体" w:eastAsia="宋体" w:cs="宋体"/>
              <w:sz w:val="32"/>
              <w:szCs w:val="32"/>
            </w:rPr>
            <w:tab/>
          </w:r>
          <w:bookmarkStart w:id="42" w:name="_Toc734447694_WPSOffice_Level2Page"/>
          <w:r>
            <w:rPr>
              <w:rFonts w:hint="eastAsia" w:ascii="宋体" w:hAnsi="宋体" w:eastAsia="宋体" w:cs="宋体"/>
              <w:sz w:val="32"/>
              <w:szCs w:val="32"/>
            </w:rPr>
            <w:t>5</w:t>
          </w:r>
          <w:bookmarkEnd w:id="42"/>
          <w:r>
            <w:rPr>
              <w:rFonts w:hint="eastAsia" w:ascii="宋体" w:hAnsi="宋体" w:eastAsia="宋体" w:cs="宋体"/>
              <w:sz w:val="32"/>
              <w:szCs w:val="32"/>
              <w:lang w:val="en-US" w:eastAsia="zh-CN"/>
            </w:rPr>
            <w:t>2</w:t>
          </w:r>
          <w:r>
            <w:rPr>
              <w:rFonts w:hint="eastAsia" w:ascii="宋体" w:hAnsi="宋体" w:eastAsia="宋体" w:cs="宋体"/>
              <w:sz w:val="32"/>
              <w:szCs w:val="32"/>
            </w:rPr>
            <w:fldChar w:fldCharType="end"/>
          </w:r>
        </w:p>
        <w:p w14:paraId="726559B9">
          <w:pPr>
            <w:pStyle w:val="47"/>
            <w:tabs>
              <w:tab w:val="right" w:leader="dot" w:pos="8300"/>
            </w:tabs>
            <w:rPr>
              <w:rFonts w:hint="eastAsia" w:ascii="宋体" w:hAnsi="宋体" w:eastAsia="宋体" w:cs="宋体"/>
              <w:sz w:val="32"/>
              <w:szCs w:val="32"/>
            </w:rPr>
          </w:pPr>
          <w:r>
            <w:rPr>
              <w:rFonts w:hint="eastAsia" w:ascii="宋体" w:hAnsi="宋体" w:eastAsia="宋体" w:cs="宋体"/>
              <w:b/>
              <w:bCs/>
              <w:sz w:val="32"/>
              <w:szCs w:val="32"/>
            </w:rPr>
            <w:fldChar w:fldCharType="begin"/>
          </w:r>
          <w:r>
            <w:rPr>
              <w:rFonts w:hint="eastAsia" w:ascii="宋体" w:hAnsi="宋体" w:eastAsia="宋体" w:cs="宋体"/>
              <w:sz w:val="32"/>
              <w:szCs w:val="32"/>
            </w:rPr>
            <w:instrText xml:space="preserve"> HYPERLINK \l _Toc694231440_WPSOffice_Level1 </w:instrText>
          </w:r>
          <w:r>
            <w:rPr>
              <w:rFonts w:hint="eastAsia" w:ascii="宋体" w:hAnsi="宋体" w:eastAsia="宋体" w:cs="宋体"/>
              <w:b/>
              <w:bCs/>
              <w:sz w:val="32"/>
              <w:szCs w:val="32"/>
            </w:rPr>
            <w:fldChar w:fldCharType="separate"/>
          </w:r>
          <w:sdt>
            <w:sdtPr>
              <w:rPr>
                <w:rFonts w:hint="eastAsia" w:ascii="宋体" w:hAnsi="宋体" w:eastAsia="宋体" w:cs="宋体"/>
                <w:b/>
                <w:bCs/>
                <w:kern w:val="2"/>
                <w:sz w:val="32"/>
                <w:szCs w:val="32"/>
                <w:lang w:val="en-US" w:eastAsia="zh-CN" w:bidi="ar-SA"/>
              </w:rPr>
              <w:id w:val="147461282"/>
              <w:placeholder>
                <w:docPart w:val="{7715c8b4-1de0-4dc8-b5ae-ce5afeb41be7}"/>
              </w:placeholder>
            </w:sdtPr>
            <w:sdtEndPr>
              <w:rPr>
                <w:rFonts w:hint="eastAsia" w:ascii="宋体" w:hAnsi="宋体" w:eastAsia="宋体" w:cs="宋体"/>
                <w:b/>
                <w:bCs/>
                <w:kern w:val="2"/>
                <w:sz w:val="32"/>
                <w:szCs w:val="32"/>
                <w:lang w:val="en-US" w:eastAsia="zh-CN" w:bidi="ar-SA"/>
              </w:rPr>
            </w:sdtEndPr>
            <w:sdtContent>
              <w:r>
                <w:rPr>
                  <w:rFonts w:hint="eastAsia" w:ascii="宋体" w:hAnsi="宋体" w:eastAsia="宋体" w:cs="宋体"/>
                  <w:b/>
                  <w:bCs/>
                  <w:sz w:val="32"/>
                  <w:szCs w:val="32"/>
                </w:rPr>
                <w:t>第七章 深化农村牧区改革</w:t>
              </w:r>
            </w:sdtContent>
          </w:sdt>
          <w:r>
            <w:rPr>
              <w:rFonts w:hint="eastAsia" w:ascii="宋体" w:hAnsi="宋体" w:eastAsia="宋体" w:cs="宋体"/>
              <w:b/>
              <w:bCs/>
              <w:sz w:val="32"/>
              <w:szCs w:val="32"/>
            </w:rPr>
            <w:tab/>
          </w:r>
          <w:bookmarkStart w:id="43" w:name="_Toc694231440_WPSOffice_Level1Page"/>
          <w:r>
            <w:rPr>
              <w:rFonts w:hint="eastAsia" w:ascii="宋体" w:hAnsi="宋体" w:eastAsia="宋体" w:cs="宋体"/>
              <w:b/>
              <w:bCs/>
              <w:sz w:val="32"/>
              <w:szCs w:val="32"/>
            </w:rPr>
            <w:t>5</w:t>
          </w:r>
          <w:bookmarkEnd w:id="43"/>
          <w:r>
            <w:rPr>
              <w:rFonts w:hint="eastAsia" w:ascii="宋体" w:hAnsi="宋体" w:cs="宋体"/>
              <w:b/>
              <w:bCs/>
              <w:sz w:val="32"/>
              <w:szCs w:val="32"/>
              <w:lang w:val="en-US" w:eastAsia="zh-CN"/>
            </w:rPr>
            <w:t>6</w:t>
          </w:r>
          <w:r>
            <w:rPr>
              <w:rFonts w:hint="eastAsia" w:ascii="宋体" w:hAnsi="宋体" w:eastAsia="宋体" w:cs="宋体"/>
              <w:b/>
              <w:bCs/>
              <w:sz w:val="32"/>
              <w:szCs w:val="32"/>
            </w:rPr>
            <w:fldChar w:fldCharType="end"/>
          </w:r>
        </w:p>
        <w:p w14:paraId="439F8979">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_Toc1551257770_WPSOffice_Level2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5793"/>
              <w:placeholder>
                <w:docPart w:val="{b7362060-0605-4d1b-a35d-7fb943132efa}"/>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第一节 推进牧区现代化示范区建设</w:t>
              </w:r>
            </w:sdtContent>
          </w:sdt>
          <w:r>
            <w:rPr>
              <w:rFonts w:hint="eastAsia" w:ascii="宋体" w:hAnsi="宋体" w:eastAsia="宋体" w:cs="宋体"/>
              <w:sz w:val="32"/>
              <w:szCs w:val="32"/>
            </w:rPr>
            <w:tab/>
          </w:r>
          <w:bookmarkStart w:id="44" w:name="_Toc1551257770_WPSOffice_Level2Page"/>
          <w:r>
            <w:rPr>
              <w:rFonts w:hint="eastAsia" w:ascii="宋体" w:hAnsi="宋体" w:eastAsia="宋体" w:cs="宋体"/>
              <w:sz w:val="32"/>
              <w:szCs w:val="32"/>
            </w:rPr>
            <w:t>5</w:t>
          </w:r>
          <w:bookmarkEnd w:id="44"/>
          <w:r>
            <w:rPr>
              <w:rFonts w:hint="eastAsia" w:ascii="宋体" w:hAnsi="宋体" w:eastAsia="宋体" w:cs="宋体"/>
              <w:sz w:val="32"/>
              <w:szCs w:val="32"/>
              <w:lang w:val="en-US" w:eastAsia="zh-CN"/>
            </w:rPr>
            <w:t>6</w:t>
          </w:r>
          <w:r>
            <w:rPr>
              <w:rFonts w:hint="eastAsia" w:ascii="宋体" w:hAnsi="宋体" w:eastAsia="宋体" w:cs="宋体"/>
              <w:sz w:val="32"/>
              <w:szCs w:val="32"/>
            </w:rPr>
            <w:fldChar w:fldCharType="end"/>
          </w:r>
        </w:p>
        <w:p w14:paraId="266B3524">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_Toc40444174_WPSOffice_Level2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60914"/>
              <w:placeholder>
                <w:docPart w:val="{67376f8a-f63f-4566-9afb-80e9ea343704}"/>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第二节 健全城乡融合发展机制</w:t>
              </w:r>
            </w:sdtContent>
          </w:sdt>
          <w:r>
            <w:rPr>
              <w:rFonts w:hint="eastAsia" w:ascii="宋体" w:hAnsi="宋体" w:eastAsia="宋体" w:cs="宋体"/>
              <w:sz w:val="32"/>
              <w:szCs w:val="32"/>
            </w:rPr>
            <w:tab/>
          </w:r>
          <w:bookmarkStart w:id="45" w:name="_Toc40444174_WPSOffice_Level2Page"/>
          <w:r>
            <w:rPr>
              <w:rFonts w:hint="eastAsia" w:ascii="宋体" w:hAnsi="宋体" w:eastAsia="宋体" w:cs="宋体"/>
              <w:sz w:val="32"/>
              <w:szCs w:val="32"/>
            </w:rPr>
            <w:t>5</w:t>
          </w:r>
          <w:bookmarkEnd w:id="45"/>
          <w:r>
            <w:rPr>
              <w:rFonts w:hint="eastAsia" w:ascii="宋体" w:hAnsi="宋体" w:eastAsia="宋体" w:cs="宋体"/>
              <w:sz w:val="32"/>
              <w:szCs w:val="32"/>
              <w:lang w:val="en-US" w:eastAsia="zh-CN"/>
            </w:rPr>
            <w:t>6</w:t>
          </w:r>
          <w:r>
            <w:rPr>
              <w:rFonts w:hint="eastAsia" w:ascii="宋体" w:hAnsi="宋体" w:eastAsia="宋体" w:cs="宋体"/>
              <w:sz w:val="32"/>
              <w:szCs w:val="32"/>
            </w:rPr>
            <w:fldChar w:fldCharType="end"/>
          </w:r>
        </w:p>
        <w:p w14:paraId="77FE0B52">
          <w:pPr>
            <w:pStyle w:val="43"/>
            <w:tabs>
              <w:tab w:val="right" w:leader="dot" w:pos="8300"/>
            </w:tabs>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_Toc805913336_WPSOffice_Level2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77875"/>
              <w:placeholder>
                <w:docPart w:val="{47ef0b58-a58a-4889-960b-ecffe239a5f4}"/>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第三节 深化农村牧区土地制度改革</w:t>
              </w:r>
            </w:sdtContent>
          </w:sdt>
          <w:r>
            <w:rPr>
              <w:rFonts w:hint="eastAsia" w:ascii="宋体" w:hAnsi="宋体" w:eastAsia="宋体" w:cs="宋体"/>
              <w:sz w:val="32"/>
              <w:szCs w:val="32"/>
            </w:rPr>
            <w:tab/>
          </w:r>
          <w:r>
            <w:rPr>
              <w:rFonts w:hint="eastAsia" w:ascii="宋体" w:hAnsi="宋体" w:eastAsia="宋体" w:cs="宋体"/>
              <w:sz w:val="32"/>
              <w:szCs w:val="32"/>
              <w:lang w:val="en-US" w:eastAsia="zh-CN"/>
            </w:rPr>
            <w:t>5</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t>8</w:t>
          </w:r>
        </w:p>
        <w:p w14:paraId="5364D8A0">
          <w:pPr>
            <w:pStyle w:val="43"/>
            <w:tabs>
              <w:tab w:val="right" w:leader="dot" w:pos="8300"/>
            </w:tabs>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_Toc1580775498_WPSOffice_Level2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82608"/>
              <w:placeholder>
                <w:docPart w:val="{c29c80f6-ccb7-4bd1-b858-47b8089d5584}"/>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 xml:space="preserve">第四节 </w:t>
              </w:r>
              <w:r>
                <w:rPr>
                  <w:rFonts w:hint="eastAsia" w:ascii="宋体" w:hAnsi="宋体" w:eastAsia="宋体" w:cs="宋体"/>
                  <w:sz w:val="32"/>
                  <w:szCs w:val="32"/>
                  <w:lang w:eastAsia="zh-CN"/>
                </w:rPr>
                <w:t>加强</w:t>
              </w:r>
              <w:r>
                <w:rPr>
                  <w:rFonts w:hint="eastAsia" w:ascii="宋体" w:hAnsi="宋体" w:eastAsia="宋体" w:cs="宋体"/>
                  <w:sz w:val="32"/>
                  <w:szCs w:val="32"/>
                </w:rPr>
                <w:t>农村牧区集体产权制度改革</w:t>
              </w:r>
            </w:sdtContent>
          </w:sdt>
          <w:r>
            <w:rPr>
              <w:rFonts w:hint="eastAsia" w:ascii="宋体" w:hAnsi="宋体" w:eastAsia="宋体" w:cs="宋体"/>
              <w:sz w:val="32"/>
              <w:szCs w:val="32"/>
            </w:rPr>
            <w:tab/>
          </w:r>
          <w:r>
            <w:rPr>
              <w:rFonts w:hint="eastAsia" w:ascii="宋体" w:hAnsi="宋体" w:eastAsia="宋体" w:cs="宋体"/>
              <w:sz w:val="32"/>
              <w:szCs w:val="32"/>
              <w:lang w:val="en-US" w:eastAsia="zh-CN"/>
            </w:rPr>
            <w:t>5</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t>9</w:t>
          </w:r>
        </w:p>
        <w:p w14:paraId="7A63CCD7">
          <w:pPr>
            <w:pStyle w:val="43"/>
            <w:tabs>
              <w:tab w:val="right" w:leader="dot" w:pos="8300"/>
            </w:tabs>
            <w:rPr>
              <w:rFonts w:hint="eastAsia" w:ascii="宋体" w:hAnsi="宋体" w:eastAsia="宋体" w:cs="宋体"/>
              <w:sz w:val="32"/>
              <w:szCs w:val="32"/>
            </w:rPr>
            <w:sectPr>
              <w:footerReference r:id="rId5" w:type="default"/>
              <w:pgSz w:w="11900" w:h="16840"/>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056BBE31">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_Toc115491055_WPSOffice_Level2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82766"/>
              <w:placeholder>
                <w:docPart w:val="{640ad3a8-fc2e-4076-a6e1-0db1682aed16}"/>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 xml:space="preserve">第五节 </w:t>
              </w:r>
              <w:r>
                <w:rPr>
                  <w:rFonts w:hint="eastAsia" w:ascii="宋体" w:hAnsi="宋体" w:eastAsia="宋体" w:cs="宋体"/>
                  <w:sz w:val="32"/>
                  <w:szCs w:val="32"/>
                  <w:lang w:eastAsia="zh-CN"/>
                </w:rPr>
                <w:t>强化</w:t>
              </w:r>
              <w:r>
                <w:rPr>
                  <w:rFonts w:hint="eastAsia" w:ascii="宋体" w:hAnsi="宋体" w:eastAsia="宋体" w:cs="宋体"/>
                  <w:sz w:val="32"/>
                  <w:szCs w:val="32"/>
                </w:rPr>
                <w:t>农垦改革</w:t>
              </w:r>
            </w:sdtContent>
          </w:sdt>
          <w:r>
            <w:rPr>
              <w:rFonts w:hint="eastAsia" w:ascii="宋体" w:hAnsi="宋体" w:eastAsia="宋体" w:cs="宋体"/>
              <w:sz w:val="32"/>
              <w:szCs w:val="32"/>
            </w:rPr>
            <w:tab/>
          </w:r>
          <w:bookmarkStart w:id="46" w:name="_Toc115491055_WPSOffice_Level2Page"/>
          <w:r>
            <w:rPr>
              <w:rFonts w:hint="eastAsia" w:ascii="宋体" w:hAnsi="宋体" w:eastAsia="宋体" w:cs="宋体"/>
              <w:sz w:val="32"/>
              <w:szCs w:val="32"/>
            </w:rPr>
            <w:t>6</w:t>
          </w:r>
          <w:bookmarkEnd w:id="46"/>
          <w:r>
            <w:rPr>
              <w:rFonts w:hint="eastAsia" w:ascii="宋体" w:hAnsi="宋体" w:eastAsia="宋体" w:cs="宋体"/>
              <w:sz w:val="32"/>
              <w:szCs w:val="32"/>
              <w:lang w:val="en-US" w:eastAsia="zh-CN"/>
            </w:rPr>
            <w:t>0</w:t>
          </w:r>
          <w:r>
            <w:rPr>
              <w:rFonts w:hint="eastAsia" w:ascii="宋体" w:hAnsi="宋体" w:eastAsia="宋体" w:cs="宋体"/>
              <w:sz w:val="32"/>
              <w:szCs w:val="32"/>
            </w:rPr>
            <w:fldChar w:fldCharType="end"/>
          </w:r>
        </w:p>
        <w:p w14:paraId="38746E2B">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_Toc1319728686_WPSOffice_Level2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69064"/>
              <w:placeholder>
                <w:docPart w:val="{6012f774-2289-4347-9a45-99c5ea125c7a}"/>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第六节 扩大农牧业对外开放</w:t>
              </w:r>
            </w:sdtContent>
          </w:sdt>
          <w:r>
            <w:rPr>
              <w:rFonts w:hint="eastAsia" w:ascii="宋体" w:hAnsi="宋体" w:eastAsia="宋体" w:cs="宋体"/>
              <w:sz w:val="32"/>
              <w:szCs w:val="32"/>
            </w:rPr>
            <w:tab/>
          </w:r>
          <w:bookmarkStart w:id="47" w:name="_Toc1319728686_WPSOffice_Level2Page"/>
          <w:r>
            <w:rPr>
              <w:rFonts w:hint="eastAsia" w:ascii="宋体" w:hAnsi="宋体" w:eastAsia="宋体" w:cs="宋体"/>
              <w:sz w:val="32"/>
              <w:szCs w:val="32"/>
            </w:rPr>
            <w:t>6</w:t>
          </w:r>
          <w:bookmarkEnd w:id="47"/>
          <w:r>
            <w:rPr>
              <w:rFonts w:hint="eastAsia" w:ascii="宋体" w:hAnsi="宋体" w:eastAsia="宋体" w:cs="宋体"/>
              <w:sz w:val="32"/>
              <w:szCs w:val="32"/>
              <w:lang w:val="en-US" w:eastAsia="zh-CN"/>
            </w:rPr>
            <w:t>1</w:t>
          </w:r>
          <w:r>
            <w:rPr>
              <w:rFonts w:hint="eastAsia" w:ascii="宋体" w:hAnsi="宋体" w:eastAsia="宋体" w:cs="宋体"/>
              <w:sz w:val="32"/>
              <w:szCs w:val="32"/>
            </w:rPr>
            <w:fldChar w:fldCharType="end"/>
          </w:r>
        </w:p>
        <w:p w14:paraId="63930FF8">
          <w:pPr>
            <w:pStyle w:val="47"/>
            <w:tabs>
              <w:tab w:val="right" w:leader="dot" w:pos="8300"/>
            </w:tabs>
            <w:rPr>
              <w:rFonts w:hint="eastAsia" w:ascii="宋体" w:hAnsi="宋体" w:eastAsia="宋体" w:cs="宋体"/>
              <w:sz w:val="32"/>
              <w:szCs w:val="32"/>
            </w:rPr>
          </w:pPr>
          <w:r>
            <w:rPr>
              <w:rFonts w:hint="eastAsia" w:ascii="宋体" w:hAnsi="宋体" w:eastAsia="宋体" w:cs="宋体"/>
              <w:b/>
              <w:bCs/>
              <w:sz w:val="32"/>
              <w:szCs w:val="32"/>
            </w:rPr>
            <w:fldChar w:fldCharType="begin"/>
          </w:r>
          <w:r>
            <w:rPr>
              <w:rFonts w:hint="eastAsia" w:ascii="宋体" w:hAnsi="宋体" w:eastAsia="宋体" w:cs="宋体"/>
              <w:sz w:val="32"/>
              <w:szCs w:val="32"/>
            </w:rPr>
            <w:instrText xml:space="preserve"> HYPERLINK \l _Toc260404896_WPSOffice_Level1 </w:instrText>
          </w:r>
          <w:r>
            <w:rPr>
              <w:rFonts w:hint="eastAsia" w:ascii="宋体" w:hAnsi="宋体" w:eastAsia="宋体" w:cs="宋体"/>
              <w:b/>
              <w:bCs/>
              <w:sz w:val="32"/>
              <w:szCs w:val="32"/>
            </w:rPr>
            <w:fldChar w:fldCharType="separate"/>
          </w:r>
          <w:sdt>
            <w:sdtPr>
              <w:rPr>
                <w:rFonts w:hint="eastAsia" w:ascii="宋体" w:hAnsi="宋体" w:eastAsia="宋体" w:cs="宋体"/>
                <w:b/>
                <w:bCs/>
                <w:kern w:val="2"/>
                <w:sz w:val="32"/>
                <w:szCs w:val="32"/>
                <w:lang w:val="en-US" w:eastAsia="zh-CN" w:bidi="ar-SA"/>
              </w:rPr>
              <w:id w:val="147476718"/>
              <w:placeholder>
                <w:docPart w:val="{9bdf2415-c501-4537-a9fb-433782b61222}"/>
              </w:placeholder>
            </w:sdtPr>
            <w:sdtEndPr>
              <w:rPr>
                <w:rFonts w:hint="eastAsia" w:ascii="宋体" w:hAnsi="宋体" w:eastAsia="宋体" w:cs="宋体"/>
                <w:b/>
                <w:bCs/>
                <w:kern w:val="2"/>
                <w:sz w:val="32"/>
                <w:szCs w:val="32"/>
                <w:lang w:val="en-US" w:eastAsia="zh-CN" w:bidi="ar-SA"/>
              </w:rPr>
            </w:sdtEndPr>
            <w:sdtContent>
              <w:r>
                <w:rPr>
                  <w:rFonts w:hint="eastAsia" w:ascii="宋体" w:hAnsi="宋体" w:eastAsia="宋体" w:cs="宋体"/>
                  <w:b/>
                  <w:bCs/>
                  <w:sz w:val="32"/>
                  <w:szCs w:val="32"/>
                </w:rPr>
                <w:t>第八章 增进农牧民多维福祉</w:t>
              </w:r>
            </w:sdtContent>
          </w:sdt>
          <w:r>
            <w:rPr>
              <w:rFonts w:hint="eastAsia" w:ascii="宋体" w:hAnsi="宋体" w:eastAsia="宋体" w:cs="宋体"/>
              <w:b/>
              <w:bCs/>
              <w:sz w:val="32"/>
              <w:szCs w:val="32"/>
            </w:rPr>
            <w:tab/>
          </w:r>
          <w:bookmarkStart w:id="48" w:name="_Toc260404896_WPSOffice_Level1Page"/>
          <w:r>
            <w:rPr>
              <w:rFonts w:hint="eastAsia" w:ascii="宋体" w:hAnsi="宋体" w:eastAsia="宋体" w:cs="宋体"/>
              <w:b/>
              <w:bCs/>
              <w:sz w:val="32"/>
              <w:szCs w:val="32"/>
            </w:rPr>
            <w:t>6</w:t>
          </w:r>
          <w:bookmarkEnd w:id="48"/>
          <w:r>
            <w:rPr>
              <w:rFonts w:hint="eastAsia" w:ascii="宋体" w:hAnsi="宋体" w:cs="宋体"/>
              <w:b/>
              <w:bCs/>
              <w:sz w:val="32"/>
              <w:szCs w:val="32"/>
              <w:lang w:val="en-US" w:eastAsia="zh-CN"/>
            </w:rPr>
            <w:t>2</w:t>
          </w:r>
          <w:r>
            <w:rPr>
              <w:rFonts w:hint="eastAsia" w:ascii="宋体" w:hAnsi="宋体" w:eastAsia="宋体" w:cs="宋体"/>
              <w:b/>
              <w:bCs/>
              <w:sz w:val="32"/>
              <w:szCs w:val="32"/>
            </w:rPr>
            <w:fldChar w:fldCharType="end"/>
          </w:r>
        </w:p>
        <w:p w14:paraId="3BA8376F">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_Toc88062995_WPSOffice_Level2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62226"/>
              <w:placeholder>
                <w:docPart w:val="{367b8909-2dd8-4252-aa16-08f08f7c3214}"/>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 xml:space="preserve">第一节 </w:t>
              </w:r>
              <w:r>
                <w:rPr>
                  <w:rFonts w:hint="eastAsia" w:ascii="宋体" w:hAnsi="宋体" w:eastAsia="宋体" w:cs="宋体"/>
                  <w:spacing w:val="-20"/>
                  <w:sz w:val="32"/>
                  <w:szCs w:val="32"/>
                  <w:lang w:eastAsia="zh-CN"/>
                </w:rPr>
                <w:t>实现</w:t>
              </w:r>
              <w:r>
                <w:rPr>
                  <w:rFonts w:hint="eastAsia" w:ascii="宋体" w:hAnsi="宋体" w:eastAsia="宋体" w:cs="宋体"/>
                  <w:spacing w:val="-20"/>
                  <w:sz w:val="32"/>
                  <w:szCs w:val="32"/>
                </w:rPr>
                <w:t>巩固拓展脱贫攻坚成果同乡村振兴有效衔接</w:t>
              </w:r>
            </w:sdtContent>
          </w:sdt>
          <w:r>
            <w:rPr>
              <w:rFonts w:hint="eastAsia" w:ascii="宋体" w:hAnsi="宋体" w:eastAsia="宋体" w:cs="宋体"/>
              <w:sz w:val="32"/>
              <w:szCs w:val="32"/>
            </w:rPr>
            <w:tab/>
          </w:r>
          <w:bookmarkStart w:id="49" w:name="_Toc88062995_WPSOffice_Level2Page"/>
          <w:r>
            <w:rPr>
              <w:rFonts w:hint="eastAsia" w:ascii="宋体" w:hAnsi="宋体" w:eastAsia="宋体" w:cs="宋体"/>
              <w:sz w:val="32"/>
              <w:szCs w:val="32"/>
            </w:rPr>
            <w:t>6</w:t>
          </w:r>
          <w:bookmarkEnd w:id="49"/>
          <w:r>
            <w:rPr>
              <w:rFonts w:hint="eastAsia" w:ascii="宋体" w:hAnsi="宋体" w:eastAsia="宋体" w:cs="宋体"/>
              <w:sz w:val="32"/>
              <w:szCs w:val="32"/>
              <w:lang w:val="en-US" w:eastAsia="zh-CN"/>
            </w:rPr>
            <w:t>2</w:t>
          </w:r>
          <w:r>
            <w:rPr>
              <w:rFonts w:hint="eastAsia" w:ascii="宋体" w:hAnsi="宋体" w:eastAsia="宋体" w:cs="宋体"/>
              <w:sz w:val="32"/>
              <w:szCs w:val="32"/>
            </w:rPr>
            <w:fldChar w:fldCharType="end"/>
          </w:r>
        </w:p>
        <w:p w14:paraId="3407FA7B">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_Toc809722495_WPSOffice_Level2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77425"/>
              <w:placeholder>
                <w:docPart w:val="{b950c1b7-8300-4e3c-84bc-f9bd29065800}"/>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第二节 多渠道增加农牧民收入</w:t>
              </w:r>
            </w:sdtContent>
          </w:sdt>
          <w:r>
            <w:rPr>
              <w:rFonts w:hint="eastAsia" w:ascii="宋体" w:hAnsi="宋体" w:eastAsia="宋体" w:cs="宋体"/>
              <w:sz w:val="32"/>
              <w:szCs w:val="32"/>
            </w:rPr>
            <w:tab/>
          </w:r>
          <w:bookmarkStart w:id="50" w:name="_Toc809722495_WPSOffice_Level2Page"/>
          <w:r>
            <w:rPr>
              <w:rFonts w:hint="eastAsia" w:ascii="宋体" w:hAnsi="宋体" w:eastAsia="宋体" w:cs="宋体"/>
              <w:sz w:val="32"/>
              <w:szCs w:val="32"/>
            </w:rPr>
            <w:t>6</w:t>
          </w:r>
          <w:bookmarkEnd w:id="50"/>
          <w:r>
            <w:rPr>
              <w:rFonts w:hint="eastAsia" w:ascii="宋体" w:hAnsi="宋体" w:eastAsia="宋体" w:cs="宋体"/>
              <w:sz w:val="32"/>
              <w:szCs w:val="32"/>
              <w:lang w:val="en-US" w:eastAsia="zh-CN"/>
            </w:rPr>
            <w:t>6</w:t>
          </w:r>
          <w:r>
            <w:rPr>
              <w:rFonts w:hint="eastAsia" w:ascii="宋体" w:hAnsi="宋体" w:eastAsia="宋体" w:cs="宋体"/>
              <w:sz w:val="32"/>
              <w:szCs w:val="32"/>
            </w:rPr>
            <w:fldChar w:fldCharType="end"/>
          </w:r>
        </w:p>
        <w:p w14:paraId="2AE9A3B7">
          <w:pPr>
            <w:pStyle w:val="43"/>
            <w:tabs>
              <w:tab w:val="right" w:leader="dot" w:pos="8300"/>
            </w:tabs>
            <w:rPr>
              <w:rFonts w:hint="default"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_Toc1580133582_WPSOffice_Level2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76098"/>
              <w:placeholder>
                <w:docPart w:val="{136b7446-0c64-4e44-afcb-064912629682}"/>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 xml:space="preserve">第三节 </w:t>
              </w:r>
              <w:r>
                <w:rPr>
                  <w:rFonts w:hint="eastAsia" w:ascii="宋体" w:hAnsi="宋体" w:eastAsia="宋体" w:cs="宋体"/>
                  <w:sz w:val="32"/>
                  <w:szCs w:val="32"/>
                  <w:lang w:eastAsia="zh-CN"/>
                </w:rPr>
                <w:t>加强</w:t>
              </w:r>
              <w:r>
                <w:rPr>
                  <w:rFonts w:hint="eastAsia" w:ascii="宋体" w:hAnsi="宋体" w:eastAsia="宋体" w:cs="宋体"/>
                  <w:sz w:val="32"/>
                  <w:szCs w:val="32"/>
                </w:rPr>
                <w:t>农村牧区文化建设</w:t>
              </w:r>
            </w:sdtContent>
          </w:sdt>
          <w:r>
            <w:rPr>
              <w:rFonts w:hint="eastAsia" w:ascii="宋体" w:hAnsi="宋体" w:eastAsia="宋体" w:cs="宋体"/>
              <w:sz w:val="32"/>
              <w:szCs w:val="32"/>
            </w:rPr>
            <w:tab/>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t>68</w:t>
          </w:r>
        </w:p>
        <w:p w14:paraId="473F19A1">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_Toc840741532_WPSOffice_Level2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2563"/>
              <w:placeholder>
                <w:docPart w:val="{6372dc6a-2622-4b8d-8a46-c840aee2cb01}"/>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第四节 完善农村牧区治理体系</w:t>
              </w:r>
            </w:sdtContent>
          </w:sdt>
          <w:r>
            <w:rPr>
              <w:rFonts w:hint="eastAsia" w:ascii="宋体" w:hAnsi="宋体" w:eastAsia="宋体" w:cs="宋体"/>
              <w:sz w:val="32"/>
              <w:szCs w:val="32"/>
            </w:rPr>
            <w:tab/>
          </w:r>
          <w:bookmarkStart w:id="51" w:name="_Toc840741532_WPSOffice_Level2Page"/>
          <w:r>
            <w:rPr>
              <w:rFonts w:hint="eastAsia" w:ascii="宋体" w:hAnsi="宋体" w:eastAsia="宋体" w:cs="宋体"/>
              <w:sz w:val="32"/>
              <w:szCs w:val="32"/>
            </w:rPr>
            <w:t>7</w:t>
          </w:r>
          <w:bookmarkEnd w:id="51"/>
          <w:r>
            <w:rPr>
              <w:rFonts w:hint="eastAsia" w:ascii="宋体" w:hAnsi="宋体" w:eastAsia="宋体" w:cs="宋体"/>
              <w:sz w:val="32"/>
              <w:szCs w:val="32"/>
              <w:lang w:val="en-US" w:eastAsia="zh-CN"/>
            </w:rPr>
            <w:t>0</w:t>
          </w:r>
          <w:r>
            <w:rPr>
              <w:rFonts w:hint="eastAsia" w:ascii="宋体" w:hAnsi="宋体" w:eastAsia="宋体" w:cs="宋体"/>
              <w:sz w:val="32"/>
              <w:szCs w:val="32"/>
            </w:rPr>
            <w:fldChar w:fldCharType="end"/>
          </w:r>
        </w:p>
        <w:p w14:paraId="3390B08A">
          <w:pPr>
            <w:pStyle w:val="47"/>
            <w:tabs>
              <w:tab w:val="right" w:leader="dot" w:pos="8300"/>
            </w:tabs>
            <w:rPr>
              <w:rFonts w:hint="eastAsia" w:ascii="宋体" w:hAnsi="宋体" w:eastAsia="宋体" w:cs="宋体"/>
              <w:sz w:val="32"/>
              <w:szCs w:val="32"/>
            </w:rPr>
          </w:pPr>
          <w:r>
            <w:rPr>
              <w:rFonts w:hint="eastAsia" w:ascii="宋体" w:hAnsi="宋体" w:eastAsia="宋体" w:cs="宋体"/>
              <w:b/>
              <w:bCs/>
              <w:sz w:val="32"/>
              <w:szCs w:val="32"/>
            </w:rPr>
            <w:fldChar w:fldCharType="begin"/>
          </w:r>
          <w:r>
            <w:rPr>
              <w:rFonts w:hint="eastAsia" w:ascii="宋体" w:hAnsi="宋体" w:eastAsia="宋体" w:cs="宋体"/>
              <w:sz w:val="32"/>
              <w:szCs w:val="32"/>
            </w:rPr>
            <w:instrText xml:space="preserve"> HYPERLINK \l _Toc752678536_WPSOffice_Level1 </w:instrText>
          </w:r>
          <w:r>
            <w:rPr>
              <w:rFonts w:hint="eastAsia" w:ascii="宋体" w:hAnsi="宋体" w:eastAsia="宋体" w:cs="宋体"/>
              <w:b/>
              <w:bCs/>
              <w:sz w:val="32"/>
              <w:szCs w:val="32"/>
            </w:rPr>
            <w:fldChar w:fldCharType="separate"/>
          </w:r>
          <w:sdt>
            <w:sdtPr>
              <w:rPr>
                <w:rFonts w:hint="eastAsia" w:ascii="宋体" w:hAnsi="宋体" w:eastAsia="宋体" w:cs="宋体"/>
                <w:b/>
                <w:bCs/>
                <w:kern w:val="2"/>
                <w:sz w:val="32"/>
                <w:szCs w:val="32"/>
                <w:lang w:val="en-US" w:eastAsia="zh-CN" w:bidi="ar-SA"/>
              </w:rPr>
              <w:id w:val="147470052"/>
              <w:placeholder>
                <w:docPart w:val="{e0212f36-1866-48d7-ab23-b8c72bf1a2b6}"/>
              </w:placeholder>
            </w:sdtPr>
            <w:sdtEndPr>
              <w:rPr>
                <w:rFonts w:hint="eastAsia" w:ascii="宋体" w:hAnsi="宋体" w:eastAsia="宋体" w:cs="宋体"/>
                <w:b/>
                <w:bCs/>
                <w:kern w:val="2"/>
                <w:sz w:val="32"/>
                <w:szCs w:val="32"/>
                <w:lang w:val="en-US" w:eastAsia="zh-CN" w:bidi="ar-SA"/>
              </w:rPr>
            </w:sdtEndPr>
            <w:sdtContent>
              <w:r>
                <w:rPr>
                  <w:rFonts w:hint="eastAsia" w:ascii="宋体" w:hAnsi="宋体" w:eastAsia="宋体" w:cs="宋体"/>
                  <w:b/>
                  <w:bCs/>
                  <w:sz w:val="32"/>
                  <w:szCs w:val="32"/>
                </w:rPr>
                <w:t>第九章 环境影响评价</w:t>
              </w:r>
            </w:sdtContent>
          </w:sdt>
          <w:r>
            <w:rPr>
              <w:rFonts w:hint="eastAsia" w:ascii="宋体" w:hAnsi="宋体" w:eastAsia="宋体" w:cs="宋体"/>
              <w:b/>
              <w:bCs/>
              <w:sz w:val="32"/>
              <w:szCs w:val="32"/>
            </w:rPr>
            <w:tab/>
          </w:r>
          <w:bookmarkStart w:id="52" w:name="_Toc752678536_WPSOffice_Level1Page"/>
          <w:r>
            <w:rPr>
              <w:rFonts w:hint="eastAsia" w:ascii="宋体" w:hAnsi="宋体" w:eastAsia="宋体" w:cs="宋体"/>
              <w:b/>
              <w:bCs/>
              <w:sz w:val="32"/>
              <w:szCs w:val="32"/>
            </w:rPr>
            <w:t>7</w:t>
          </w:r>
          <w:bookmarkEnd w:id="52"/>
          <w:r>
            <w:rPr>
              <w:rFonts w:hint="eastAsia" w:ascii="宋体" w:hAnsi="宋体" w:cs="宋体"/>
              <w:b/>
              <w:bCs/>
              <w:sz w:val="32"/>
              <w:szCs w:val="32"/>
              <w:lang w:val="en-US" w:eastAsia="zh-CN"/>
            </w:rPr>
            <w:t>4</w:t>
          </w:r>
          <w:r>
            <w:rPr>
              <w:rFonts w:hint="eastAsia" w:ascii="宋体" w:hAnsi="宋体" w:eastAsia="宋体" w:cs="宋体"/>
              <w:b/>
              <w:bCs/>
              <w:sz w:val="32"/>
              <w:szCs w:val="32"/>
            </w:rPr>
            <w:fldChar w:fldCharType="end"/>
          </w:r>
        </w:p>
        <w:p w14:paraId="51EE3609">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_Toc32125070_WPSOffice_Level2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76023"/>
              <w:placeholder>
                <w:docPart w:val="{32a2e298-1912-41fe-b896-083c6572bd0a}"/>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第一节 有利影响</w:t>
              </w:r>
            </w:sdtContent>
          </w:sdt>
          <w:r>
            <w:rPr>
              <w:rFonts w:hint="eastAsia" w:ascii="宋体" w:hAnsi="宋体" w:eastAsia="宋体" w:cs="宋体"/>
              <w:sz w:val="32"/>
              <w:szCs w:val="32"/>
            </w:rPr>
            <w:tab/>
          </w:r>
          <w:bookmarkStart w:id="53" w:name="_Toc32125070_WPSOffice_Level2Page"/>
          <w:r>
            <w:rPr>
              <w:rFonts w:hint="eastAsia" w:ascii="宋体" w:hAnsi="宋体" w:eastAsia="宋体" w:cs="宋体"/>
              <w:sz w:val="32"/>
              <w:szCs w:val="32"/>
            </w:rPr>
            <w:t>7</w:t>
          </w:r>
          <w:bookmarkEnd w:id="53"/>
          <w:r>
            <w:rPr>
              <w:rFonts w:hint="eastAsia" w:ascii="宋体" w:hAnsi="宋体" w:eastAsia="宋体" w:cs="宋体"/>
              <w:sz w:val="32"/>
              <w:szCs w:val="32"/>
              <w:lang w:val="en-US" w:eastAsia="zh-CN"/>
            </w:rPr>
            <w:t>4</w:t>
          </w:r>
          <w:r>
            <w:rPr>
              <w:rFonts w:hint="eastAsia" w:ascii="宋体" w:hAnsi="宋体" w:eastAsia="宋体" w:cs="宋体"/>
              <w:sz w:val="32"/>
              <w:szCs w:val="32"/>
            </w:rPr>
            <w:fldChar w:fldCharType="end"/>
          </w:r>
        </w:p>
        <w:p w14:paraId="43233A11">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_Toc780670889_WPSOffice_Level2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70842"/>
              <w:placeholder>
                <w:docPart w:val="{409e9eeb-aae6-409b-8d73-65dd456e73d1}"/>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第二节 不利影响</w:t>
              </w:r>
            </w:sdtContent>
          </w:sdt>
          <w:r>
            <w:rPr>
              <w:rFonts w:hint="eastAsia" w:ascii="宋体" w:hAnsi="宋体" w:eastAsia="宋体" w:cs="宋体"/>
              <w:sz w:val="32"/>
              <w:szCs w:val="32"/>
            </w:rPr>
            <w:tab/>
          </w:r>
          <w:bookmarkStart w:id="54" w:name="_Toc780670889_WPSOffice_Level2Page"/>
          <w:r>
            <w:rPr>
              <w:rFonts w:hint="eastAsia" w:ascii="宋体" w:hAnsi="宋体" w:eastAsia="宋体" w:cs="宋体"/>
              <w:sz w:val="32"/>
              <w:szCs w:val="32"/>
            </w:rPr>
            <w:t>7</w:t>
          </w:r>
          <w:bookmarkEnd w:id="54"/>
          <w:r>
            <w:rPr>
              <w:rFonts w:hint="eastAsia" w:ascii="宋体" w:hAnsi="宋体" w:eastAsia="宋体" w:cs="宋体"/>
              <w:sz w:val="32"/>
              <w:szCs w:val="32"/>
              <w:lang w:val="en-US" w:eastAsia="zh-CN"/>
            </w:rPr>
            <w:t>5</w:t>
          </w:r>
          <w:r>
            <w:rPr>
              <w:rFonts w:hint="eastAsia" w:ascii="宋体" w:hAnsi="宋体" w:eastAsia="宋体" w:cs="宋体"/>
              <w:sz w:val="32"/>
              <w:szCs w:val="32"/>
            </w:rPr>
            <w:fldChar w:fldCharType="end"/>
          </w:r>
        </w:p>
        <w:p w14:paraId="77C2A5FC">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_Toc255207481_WPSOffice_Level2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7484"/>
              <w:placeholder>
                <w:docPart w:val="{aa9735df-0ec2-4df4-b9e8-d52e7ddb1496}"/>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第三节 初步评价</w:t>
              </w:r>
            </w:sdtContent>
          </w:sdt>
          <w:r>
            <w:rPr>
              <w:rFonts w:hint="eastAsia" w:ascii="宋体" w:hAnsi="宋体" w:eastAsia="宋体" w:cs="宋体"/>
              <w:sz w:val="32"/>
              <w:szCs w:val="32"/>
            </w:rPr>
            <w:tab/>
          </w:r>
          <w:bookmarkStart w:id="55" w:name="_Toc255207481_WPSOffice_Level2Page"/>
          <w:r>
            <w:rPr>
              <w:rFonts w:hint="eastAsia" w:ascii="宋体" w:hAnsi="宋体" w:eastAsia="宋体" w:cs="宋体"/>
              <w:sz w:val="32"/>
              <w:szCs w:val="32"/>
            </w:rPr>
            <w:t>7</w:t>
          </w:r>
          <w:bookmarkEnd w:id="55"/>
          <w:r>
            <w:rPr>
              <w:rFonts w:hint="eastAsia" w:ascii="宋体" w:hAnsi="宋体" w:eastAsia="宋体" w:cs="宋体"/>
              <w:sz w:val="32"/>
              <w:szCs w:val="32"/>
              <w:lang w:val="en-US" w:eastAsia="zh-CN"/>
            </w:rPr>
            <w:t>6</w:t>
          </w:r>
          <w:r>
            <w:rPr>
              <w:rFonts w:hint="eastAsia" w:ascii="宋体" w:hAnsi="宋体" w:eastAsia="宋体" w:cs="宋体"/>
              <w:sz w:val="32"/>
              <w:szCs w:val="32"/>
            </w:rPr>
            <w:fldChar w:fldCharType="end"/>
          </w:r>
        </w:p>
        <w:p w14:paraId="6053FBB7">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_Toc1838528168_WPSOffice_Level2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74456"/>
              <w:placeholder>
                <w:docPart w:val="{9f2c6386-4cb3-43b6-a457-55aaf09e12ab}"/>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第四节 对策措施</w:t>
              </w:r>
            </w:sdtContent>
          </w:sdt>
          <w:r>
            <w:rPr>
              <w:rFonts w:hint="eastAsia" w:ascii="宋体" w:hAnsi="宋体" w:eastAsia="宋体" w:cs="宋体"/>
              <w:sz w:val="32"/>
              <w:szCs w:val="32"/>
            </w:rPr>
            <w:tab/>
          </w:r>
          <w:bookmarkStart w:id="56" w:name="_Toc1838528168_WPSOffice_Level2Page"/>
          <w:r>
            <w:rPr>
              <w:rFonts w:hint="eastAsia" w:ascii="宋体" w:hAnsi="宋体" w:eastAsia="宋体" w:cs="宋体"/>
              <w:sz w:val="32"/>
              <w:szCs w:val="32"/>
            </w:rPr>
            <w:t>7</w:t>
          </w:r>
          <w:bookmarkEnd w:id="56"/>
          <w:r>
            <w:rPr>
              <w:rFonts w:hint="eastAsia" w:ascii="宋体" w:hAnsi="宋体" w:eastAsia="宋体" w:cs="宋体"/>
              <w:sz w:val="32"/>
              <w:szCs w:val="32"/>
              <w:lang w:val="en-US" w:eastAsia="zh-CN"/>
            </w:rPr>
            <w:t>6</w:t>
          </w:r>
          <w:r>
            <w:rPr>
              <w:rFonts w:hint="eastAsia" w:ascii="宋体" w:hAnsi="宋体" w:eastAsia="宋体" w:cs="宋体"/>
              <w:sz w:val="32"/>
              <w:szCs w:val="32"/>
            </w:rPr>
            <w:fldChar w:fldCharType="end"/>
          </w:r>
        </w:p>
        <w:p w14:paraId="1A76CEFF">
          <w:pPr>
            <w:pStyle w:val="47"/>
            <w:tabs>
              <w:tab w:val="right" w:leader="dot" w:pos="8300"/>
            </w:tabs>
            <w:rPr>
              <w:rFonts w:hint="eastAsia" w:ascii="宋体" w:hAnsi="宋体" w:eastAsia="宋体" w:cs="宋体"/>
              <w:sz w:val="32"/>
              <w:szCs w:val="32"/>
              <w:lang w:val="en-US" w:eastAsia="zh-CN"/>
            </w:rPr>
          </w:pPr>
          <w:r>
            <w:rPr>
              <w:rFonts w:hint="eastAsia" w:ascii="宋体" w:hAnsi="宋体" w:eastAsia="宋体" w:cs="宋体"/>
              <w:b/>
              <w:bCs/>
              <w:sz w:val="32"/>
              <w:szCs w:val="32"/>
            </w:rPr>
            <w:fldChar w:fldCharType="begin"/>
          </w:r>
          <w:r>
            <w:rPr>
              <w:rFonts w:hint="eastAsia" w:ascii="宋体" w:hAnsi="宋体" w:eastAsia="宋体" w:cs="宋体"/>
              <w:sz w:val="32"/>
              <w:szCs w:val="32"/>
            </w:rPr>
            <w:instrText xml:space="preserve"> HYPERLINK \l _Toc1369886222_WPSOffice_Level1 </w:instrText>
          </w:r>
          <w:r>
            <w:rPr>
              <w:rFonts w:hint="eastAsia" w:ascii="宋体" w:hAnsi="宋体" w:eastAsia="宋体" w:cs="宋体"/>
              <w:b/>
              <w:bCs/>
              <w:sz w:val="32"/>
              <w:szCs w:val="32"/>
            </w:rPr>
            <w:fldChar w:fldCharType="separate"/>
          </w:r>
          <w:sdt>
            <w:sdtPr>
              <w:rPr>
                <w:rFonts w:hint="eastAsia" w:ascii="宋体" w:hAnsi="宋体" w:eastAsia="宋体" w:cs="宋体"/>
                <w:b/>
                <w:bCs/>
                <w:kern w:val="2"/>
                <w:sz w:val="32"/>
                <w:szCs w:val="32"/>
                <w:lang w:val="en-US" w:eastAsia="zh-CN" w:bidi="ar-SA"/>
              </w:rPr>
              <w:id w:val="147478202"/>
              <w:placeholder>
                <w:docPart w:val="{21b83702-a1b3-471a-ae90-3778168265ff}"/>
              </w:placeholder>
            </w:sdtPr>
            <w:sdtEndPr>
              <w:rPr>
                <w:rFonts w:hint="eastAsia" w:ascii="宋体" w:hAnsi="宋体" w:eastAsia="宋体" w:cs="宋体"/>
                <w:b/>
                <w:bCs/>
                <w:kern w:val="2"/>
                <w:sz w:val="32"/>
                <w:szCs w:val="32"/>
                <w:lang w:val="en-US" w:eastAsia="zh-CN" w:bidi="ar-SA"/>
              </w:rPr>
            </w:sdtEndPr>
            <w:sdtContent>
              <w:r>
                <w:rPr>
                  <w:rFonts w:hint="eastAsia" w:ascii="宋体" w:hAnsi="宋体" w:eastAsia="宋体" w:cs="宋体"/>
                  <w:b/>
                  <w:bCs/>
                  <w:sz w:val="32"/>
                  <w:szCs w:val="32"/>
                </w:rPr>
                <w:t>第十章 保障机制</w:t>
              </w:r>
            </w:sdtContent>
          </w:sdt>
          <w:r>
            <w:rPr>
              <w:rFonts w:hint="eastAsia" w:ascii="宋体" w:hAnsi="宋体" w:eastAsia="宋体" w:cs="宋体"/>
              <w:b/>
              <w:bCs/>
              <w:sz w:val="32"/>
              <w:szCs w:val="32"/>
            </w:rPr>
            <w:tab/>
          </w:r>
          <w:r>
            <w:rPr>
              <w:rFonts w:hint="eastAsia" w:ascii="宋体" w:hAnsi="宋体" w:cs="宋体"/>
              <w:b/>
              <w:bCs/>
              <w:sz w:val="32"/>
              <w:szCs w:val="32"/>
              <w:lang w:val="en-US" w:eastAsia="zh-CN"/>
            </w:rPr>
            <w:t>7</w:t>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9</w:t>
          </w:r>
        </w:p>
        <w:p w14:paraId="060AA883">
          <w:pPr>
            <w:pStyle w:val="43"/>
            <w:tabs>
              <w:tab w:val="right" w:leader="dot" w:pos="8300"/>
            </w:tabs>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_Toc1506407809_WPSOffice_Level2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61586"/>
              <w:placeholder>
                <w:docPart w:val="{32e4b029-59b5-4c67-b6ca-1263b3d2bf9e}"/>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第一节 加强组织领导</w:t>
              </w:r>
            </w:sdtContent>
          </w:sdt>
          <w:r>
            <w:rPr>
              <w:rFonts w:hint="eastAsia" w:ascii="宋体" w:hAnsi="宋体" w:eastAsia="宋体" w:cs="宋体"/>
              <w:sz w:val="32"/>
              <w:szCs w:val="32"/>
            </w:rPr>
            <w:tab/>
          </w:r>
          <w:r>
            <w:rPr>
              <w:rFonts w:hint="eastAsia" w:ascii="宋体" w:hAnsi="宋体" w:eastAsia="宋体" w:cs="宋体"/>
              <w:sz w:val="32"/>
              <w:szCs w:val="32"/>
              <w:lang w:val="en-US" w:eastAsia="zh-CN"/>
            </w:rPr>
            <w:t>7</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t>9</w:t>
          </w:r>
        </w:p>
        <w:p w14:paraId="20780A6F">
          <w:pPr>
            <w:pStyle w:val="43"/>
            <w:tabs>
              <w:tab w:val="right" w:leader="dot" w:pos="8300"/>
            </w:tabs>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_Toc131061107_WPSOffice_Level2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61342"/>
              <w:placeholder>
                <w:docPart w:val="{c4685623-2704-4d8e-9651-59e8965d20de}"/>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第二节 加大政策支持</w:t>
              </w:r>
            </w:sdtContent>
          </w:sdt>
          <w:r>
            <w:rPr>
              <w:rFonts w:hint="eastAsia" w:ascii="宋体" w:hAnsi="宋体" w:eastAsia="宋体" w:cs="宋体"/>
              <w:sz w:val="32"/>
              <w:szCs w:val="32"/>
            </w:rPr>
            <w:tab/>
          </w:r>
          <w:r>
            <w:rPr>
              <w:rFonts w:hint="eastAsia" w:ascii="宋体" w:hAnsi="宋体" w:eastAsia="宋体" w:cs="宋体"/>
              <w:sz w:val="32"/>
              <w:szCs w:val="32"/>
              <w:lang w:val="en-US" w:eastAsia="zh-CN"/>
            </w:rPr>
            <w:t>7</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t>9</w:t>
          </w:r>
        </w:p>
        <w:p w14:paraId="44D3B8D0">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_Toc1819215166_WPSOffice_Level2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66963"/>
              <w:placeholder>
                <w:docPart w:val="{66d36309-f128-4094-935b-c1a36666f0cd}"/>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第三节 强化法制保障</w:t>
              </w:r>
            </w:sdtContent>
          </w:sdt>
          <w:r>
            <w:rPr>
              <w:rFonts w:hint="eastAsia" w:ascii="宋体" w:hAnsi="宋体" w:eastAsia="宋体" w:cs="宋体"/>
              <w:sz w:val="32"/>
              <w:szCs w:val="32"/>
            </w:rPr>
            <w:tab/>
          </w:r>
          <w:bookmarkStart w:id="57" w:name="_Toc1819215166_WPSOffice_Level2Page"/>
          <w:r>
            <w:rPr>
              <w:rFonts w:hint="eastAsia" w:ascii="宋体" w:hAnsi="宋体" w:eastAsia="宋体" w:cs="宋体"/>
              <w:sz w:val="32"/>
              <w:szCs w:val="32"/>
            </w:rPr>
            <w:t>8</w:t>
          </w:r>
          <w:bookmarkEnd w:id="57"/>
          <w:r>
            <w:rPr>
              <w:rFonts w:hint="eastAsia" w:ascii="宋体" w:hAnsi="宋体" w:eastAsia="宋体" w:cs="宋体"/>
              <w:sz w:val="32"/>
              <w:szCs w:val="32"/>
              <w:lang w:val="en-US" w:eastAsia="zh-CN"/>
            </w:rPr>
            <w:t>0</w:t>
          </w:r>
          <w:r>
            <w:rPr>
              <w:rFonts w:hint="eastAsia" w:ascii="宋体" w:hAnsi="宋体" w:eastAsia="宋体" w:cs="宋体"/>
              <w:sz w:val="32"/>
              <w:szCs w:val="32"/>
            </w:rPr>
            <w:fldChar w:fldCharType="end"/>
          </w:r>
        </w:p>
        <w:p w14:paraId="5BE0F7BF">
          <w:pPr>
            <w:pStyle w:val="43"/>
            <w:tabs>
              <w:tab w:val="right" w:leader="dot" w:pos="830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_Toc517717901_WPSOffice_Level2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62011"/>
              <w:placeholder>
                <w:docPart w:val="{90713ec6-7525-4849-9e29-6fe9cf4260a5}"/>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第四节 严格评估考核</w:t>
              </w:r>
            </w:sdtContent>
          </w:sdt>
          <w:r>
            <w:rPr>
              <w:rFonts w:hint="eastAsia" w:ascii="宋体" w:hAnsi="宋体" w:eastAsia="宋体" w:cs="宋体"/>
              <w:sz w:val="32"/>
              <w:szCs w:val="32"/>
            </w:rPr>
            <w:tab/>
          </w:r>
          <w:bookmarkStart w:id="58" w:name="_Toc517717901_WPSOffice_Level2Page"/>
          <w:r>
            <w:rPr>
              <w:rFonts w:hint="eastAsia" w:ascii="宋体" w:hAnsi="宋体" w:eastAsia="宋体" w:cs="宋体"/>
              <w:sz w:val="32"/>
              <w:szCs w:val="32"/>
            </w:rPr>
            <w:t>8</w:t>
          </w:r>
          <w:bookmarkEnd w:id="58"/>
          <w:r>
            <w:rPr>
              <w:rFonts w:hint="eastAsia" w:ascii="宋体" w:hAnsi="宋体" w:eastAsia="宋体" w:cs="宋体"/>
              <w:sz w:val="32"/>
              <w:szCs w:val="32"/>
              <w:lang w:val="en-US" w:eastAsia="zh-CN"/>
            </w:rPr>
            <w:t>1</w:t>
          </w:r>
          <w:r>
            <w:rPr>
              <w:rFonts w:hint="eastAsia" w:ascii="宋体" w:hAnsi="宋体" w:eastAsia="宋体" w:cs="宋体"/>
              <w:sz w:val="32"/>
              <w:szCs w:val="32"/>
            </w:rPr>
            <w:fldChar w:fldCharType="end"/>
          </w:r>
        </w:p>
        <w:bookmarkEnd w:id="0"/>
        <w:p w14:paraId="6ED3FFE6">
          <w:pPr>
            <w:pStyle w:val="43"/>
            <w:tabs>
              <w:tab w:val="right" w:leader="dot" w:pos="8300"/>
            </w:tabs>
          </w:pPr>
        </w:p>
      </w:sdtContent>
    </w:sdt>
    <w:p w14:paraId="4529AA18">
      <w:pPr>
        <w:spacing w:line="500" w:lineRule="exact"/>
        <w:jc w:val="center"/>
        <w:rPr>
          <w:rFonts w:ascii="方正小标宋简体" w:hAnsi="方正小标宋简体" w:eastAsia="方正小标宋简体" w:cs="方正小标宋简体"/>
          <w:sz w:val="44"/>
          <w:szCs w:val="44"/>
        </w:rPr>
      </w:pPr>
    </w:p>
    <w:p w14:paraId="2D98AAEE">
      <w:pPr>
        <w:spacing w:line="500" w:lineRule="exact"/>
        <w:jc w:val="center"/>
        <w:rPr>
          <w:rFonts w:ascii="方正小标宋简体" w:hAnsi="方正小标宋简体" w:eastAsia="方正小标宋简体" w:cs="方正小标宋简体"/>
          <w:sz w:val="44"/>
          <w:szCs w:val="44"/>
        </w:rPr>
      </w:pPr>
    </w:p>
    <w:p w14:paraId="7F946E39">
      <w:pPr>
        <w:spacing w:line="500" w:lineRule="exact"/>
        <w:jc w:val="center"/>
        <w:rPr>
          <w:rFonts w:ascii="方正小标宋简体" w:hAnsi="方正小标宋简体" w:eastAsia="方正小标宋简体" w:cs="方正小标宋简体"/>
          <w:sz w:val="44"/>
          <w:szCs w:val="44"/>
        </w:rPr>
      </w:pPr>
    </w:p>
    <w:p w14:paraId="0E4283BB">
      <w:pPr>
        <w:spacing w:line="500" w:lineRule="exact"/>
        <w:jc w:val="center"/>
        <w:rPr>
          <w:rFonts w:ascii="方正小标宋简体" w:hAnsi="方正小标宋简体" w:eastAsia="方正小标宋简体" w:cs="方正小标宋简体"/>
          <w:sz w:val="44"/>
          <w:szCs w:val="44"/>
        </w:rPr>
      </w:pPr>
    </w:p>
    <w:p w14:paraId="33E6E262">
      <w:pPr>
        <w:spacing w:line="500" w:lineRule="exact"/>
        <w:jc w:val="center"/>
        <w:rPr>
          <w:rFonts w:ascii="方正小标宋简体" w:hAnsi="方正小标宋简体" w:eastAsia="方正小标宋简体" w:cs="方正小标宋简体"/>
          <w:sz w:val="44"/>
          <w:szCs w:val="44"/>
        </w:rPr>
        <w:sectPr>
          <w:footerReference r:id="rId6" w:type="default"/>
          <w:pgSz w:w="11900" w:h="16840"/>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bookmarkEnd w:id="1"/>
    <w:bookmarkEnd w:id="2"/>
    <w:bookmarkEnd w:id="3"/>
    <w:p w14:paraId="2C43383A">
      <w:pPr>
        <w:jc w:val="center"/>
        <w:rPr>
          <w:rFonts w:hint="eastAsia" w:ascii="仿宋" w:hAnsi="仿宋" w:eastAsia="仿宋" w:cs="仿宋"/>
          <w:sz w:val="32"/>
          <w:szCs w:val="32"/>
        </w:rPr>
      </w:pPr>
      <w:bookmarkStart w:id="59" w:name="_Toc13534"/>
      <w:bookmarkStart w:id="60" w:name="_Toc23741"/>
      <w:bookmarkStart w:id="61" w:name="_Toc17403"/>
      <w:bookmarkStart w:id="62" w:name="_Toc27771"/>
    </w:p>
    <w:p w14:paraId="7C4CD7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63" w:name="_Toc729357472_WPSOffice_Level1"/>
      <w:r>
        <w:rPr>
          <w:rFonts w:hint="eastAsia" w:ascii="方正小标宋简体" w:hAnsi="方正小标宋简体" w:eastAsia="方正小标宋简体" w:cs="方正小标宋简体"/>
          <w:sz w:val="44"/>
          <w:szCs w:val="44"/>
        </w:rPr>
        <w:t xml:space="preserve">前 </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言</w:t>
      </w:r>
      <w:bookmarkEnd w:id="59"/>
      <w:bookmarkEnd w:id="60"/>
      <w:bookmarkEnd w:id="61"/>
      <w:bookmarkEnd w:id="62"/>
      <w:bookmarkEnd w:id="63"/>
    </w:p>
    <w:p w14:paraId="3ABE6CD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32"/>
          <w:szCs w:val="32"/>
        </w:rPr>
      </w:pPr>
    </w:p>
    <w:p w14:paraId="20B037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bCs/>
          <w:kern w:val="1"/>
          <w:sz w:val="32"/>
          <w:szCs w:val="32"/>
        </w:rPr>
      </w:pPr>
      <w:r>
        <w:rPr>
          <w:rFonts w:hint="eastAsia" w:ascii="仿宋" w:hAnsi="仿宋" w:eastAsia="仿宋" w:cs="仿宋"/>
          <w:sz w:val="32"/>
          <w:szCs w:val="32"/>
        </w:rPr>
        <w:t>“十四五”时期是我国乘势而上开启全面建设社会主义现代化国家新征程、向第二个百年奋斗目标进军的第一个五年，也是</w:t>
      </w:r>
      <w:r>
        <w:rPr>
          <w:rFonts w:hint="eastAsia" w:ascii="仿宋" w:hAnsi="仿宋" w:eastAsia="仿宋" w:cs="仿宋"/>
          <w:sz w:val="32"/>
          <w:szCs w:val="32"/>
          <w:lang w:eastAsia="zh-CN"/>
        </w:rPr>
        <w:t>我盟</w:t>
      </w:r>
      <w:r>
        <w:rPr>
          <w:rFonts w:hint="eastAsia" w:ascii="仿宋" w:hAnsi="仿宋" w:eastAsia="仿宋" w:cs="仿宋"/>
          <w:sz w:val="32"/>
          <w:szCs w:val="32"/>
        </w:rPr>
        <w:t>探索走好以生态优先、绿色发展为导向的高质量发展新路子的关键时期</w:t>
      </w:r>
      <w:r>
        <w:rPr>
          <w:rFonts w:hint="eastAsia" w:ascii="仿宋" w:hAnsi="仿宋" w:eastAsia="仿宋" w:cs="仿宋"/>
          <w:sz w:val="32"/>
          <w:szCs w:val="32"/>
          <w:lang w:eastAsia="zh-CN"/>
        </w:rPr>
        <w:t>，</w:t>
      </w:r>
      <w:r>
        <w:rPr>
          <w:rFonts w:hint="eastAsia" w:ascii="仿宋" w:hAnsi="仿宋" w:eastAsia="仿宋" w:cs="仿宋"/>
          <w:sz w:val="32"/>
          <w:szCs w:val="32"/>
        </w:rPr>
        <w:t>做好这一时期“三农三牧”工作任务艰巨、意义重大。</w:t>
      </w:r>
      <w:r>
        <w:rPr>
          <w:rFonts w:hint="eastAsia" w:ascii="仿宋" w:hAnsi="仿宋" w:eastAsia="仿宋" w:cs="仿宋"/>
          <w:sz w:val="32"/>
          <w:szCs w:val="32"/>
          <w:lang w:eastAsia="zh-CN"/>
        </w:rPr>
        <w:t>为</w:t>
      </w:r>
      <w:r>
        <w:rPr>
          <w:rFonts w:hint="eastAsia" w:ascii="仿宋" w:hAnsi="仿宋" w:eastAsia="仿宋" w:cs="仿宋"/>
          <w:sz w:val="32"/>
          <w:szCs w:val="32"/>
        </w:rPr>
        <w:t>深入贯彻落实习近平总书记</w:t>
      </w:r>
      <w:r>
        <w:rPr>
          <w:rFonts w:hint="eastAsia" w:ascii="仿宋" w:hAnsi="仿宋" w:eastAsia="仿宋" w:cs="仿宋"/>
          <w:sz w:val="32"/>
          <w:szCs w:val="32"/>
          <w:lang w:eastAsia="zh-CN"/>
        </w:rPr>
        <w:t>关于“三农”工作重要论述和对内蒙古重要讲话重要指示批示精神</w:t>
      </w:r>
      <w:r>
        <w:rPr>
          <w:rFonts w:hint="eastAsia" w:ascii="仿宋" w:hAnsi="仿宋" w:eastAsia="仿宋" w:cs="仿宋"/>
          <w:sz w:val="32"/>
          <w:szCs w:val="32"/>
        </w:rPr>
        <w:t>，全面实施乡村振兴战略，</w:t>
      </w:r>
      <w:r>
        <w:rPr>
          <w:rFonts w:hint="eastAsia" w:ascii="仿宋" w:hAnsi="仿宋" w:eastAsia="仿宋" w:cs="仿宋"/>
          <w:sz w:val="32"/>
          <w:szCs w:val="32"/>
          <w:lang w:eastAsia="zh-CN"/>
        </w:rPr>
        <w:t>稳步促进</w:t>
      </w:r>
      <w:r>
        <w:rPr>
          <w:rFonts w:hint="eastAsia" w:ascii="仿宋" w:hAnsi="仿宋" w:eastAsia="仿宋" w:cs="仿宋"/>
          <w:sz w:val="32"/>
          <w:szCs w:val="32"/>
        </w:rPr>
        <w:t>农牧业农村牧区现代化</w:t>
      </w:r>
      <w:r>
        <w:rPr>
          <w:rFonts w:hint="eastAsia" w:ascii="仿宋" w:hAnsi="仿宋" w:eastAsia="仿宋" w:cs="仿宋"/>
          <w:sz w:val="32"/>
          <w:szCs w:val="32"/>
          <w:lang w:eastAsia="zh-CN"/>
        </w:rPr>
        <w:t>发展</w:t>
      </w:r>
      <w:r>
        <w:rPr>
          <w:rFonts w:hint="eastAsia" w:ascii="仿宋" w:hAnsi="仿宋" w:eastAsia="仿宋" w:cs="仿宋"/>
          <w:sz w:val="32"/>
          <w:szCs w:val="32"/>
        </w:rPr>
        <w:t>，不断提</w:t>
      </w:r>
      <w:r>
        <w:rPr>
          <w:rFonts w:hint="eastAsia" w:ascii="仿宋" w:hAnsi="仿宋" w:eastAsia="仿宋" w:cs="仿宋"/>
          <w:sz w:val="32"/>
          <w:szCs w:val="32"/>
          <w:lang w:eastAsia="zh-CN"/>
        </w:rPr>
        <w:t>升</w:t>
      </w:r>
      <w:r>
        <w:rPr>
          <w:rFonts w:hint="eastAsia" w:ascii="仿宋" w:hAnsi="仿宋" w:eastAsia="仿宋" w:cs="仿宋"/>
          <w:sz w:val="32"/>
          <w:szCs w:val="32"/>
        </w:rPr>
        <w:t>农牧民</w:t>
      </w:r>
      <w:r>
        <w:rPr>
          <w:rFonts w:hint="eastAsia" w:ascii="仿宋" w:hAnsi="仿宋" w:eastAsia="仿宋" w:cs="仿宋"/>
          <w:sz w:val="32"/>
          <w:szCs w:val="32"/>
          <w:lang w:eastAsia="zh-CN"/>
        </w:rPr>
        <w:t>生产</w:t>
      </w:r>
      <w:r>
        <w:rPr>
          <w:rFonts w:hint="eastAsia" w:ascii="仿宋" w:hAnsi="仿宋" w:eastAsia="仿宋" w:cs="仿宋"/>
          <w:sz w:val="32"/>
          <w:szCs w:val="32"/>
        </w:rPr>
        <w:t>生活水平，根据《内蒙古自治区“十四五”推进农牧业农村牧区现代化发展规划》和《锡林郭勒盟国民经济和社会发展第十四个五年规划和2035年远景目标纲要》</w:t>
      </w:r>
      <w:r>
        <w:rPr>
          <w:rFonts w:hint="eastAsia" w:ascii="仿宋" w:hAnsi="仿宋" w:eastAsia="仿宋" w:cs="仿宋"/>
          <w:sz w:val="32"/>
          <w:szCs w:val="32"/>
          <w:lang w:eastAsia="zh-CN"/>
        </w:rPr>
        <w:t>，</w:t>
      </w:r>
      <w:r>
        <w:rPr>
          <w:rFonts w:hint="eastAsia" w:ascii="仿宋" w:hAnsi="仿宋" w:eastAsia="仿宋" w:cs="仿宋"/>
          <w:sz w:val="32"/>
          <w:szCs w:val="32"/>
        </w:rPr>
        <w:t>编制</w:t>
      </w:r>
      <w:r>
        <w:rPr>
          <w:rFonts w:hint="eastAsia" w:ascii="仿宋" w:hAnsi="仿宋" w:eastAsia="仿宋" w:cs="仿宋"/>
          <w:sz w:val="32"/>
          <w:szCs w:val="32"/>
          <w:lang w:eastAsia="zh-CN"/>
        </w:rPr>
        <w:t>本规划</w:t>
      </w:r>
      <w:r>
        <w:rPr>
          <w:rFonts w:hint="eastAsia" w:ascii="仿宋" w:hAnsi="仿宋" w:eastAsia="仿宋" w:cs="仿宋"/>
          <w:bCs/>
          <w:kern w:val="1"/>
          <w:sz w:val="32"/>
          <w:szCs w:val="32"/>
        </w:rPr>
        <w:t>。</w:t>
      </w:r>
    </w:p>
    <w:p w14:paraId="25AE8C62">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bCs/>
          <w:kern w:val="1"/>
        </w:rPr>
      </w:pPr>
    </w:p>
    <w:p w14:paraId="588C164E">
      <w:pPr>
        <w:pageBreakBefore w:val="0"/>
        <w:widowControl w:val="0"/>
        <w:kinsoku/>
        <w:wordWrap/>
        <w:overflowPunct/>
        <w:topLinePunct w:val="0"/>
        <w:autoSpaceDE/>
        <w:autoSpaceDN/>
        <w:bidi w:val="0"/>
        <w:adjustRightInd/>
        <w:spacing w:line="600" w:lineRule="exact"/>
        <w:textAlignment w:val="auto"/>
        <w:rPr>
          <w:rFonts w:ascii="仿宋" w:hAnsi="仿宋" w:eastAsia="仿宋" w:cs="仿宋"/>
          <w:bCs/>
          <w:kern w:val="1"/>
          <w:sz w:val="32"/>
          <w:szCs w:val="32"/>
        </w:rPr>
      </w:pPr>
    </w:p>
    <w:p w14:paraId="22CFFFAE">
      <w:pPr>
        <w:pStyle w:val="2"/>
        <w:rPr>
          <w:rFonts w:ascii="仿宋" w:hAnsi="仿宋" w:eastAsia="仿宋" w:cs="仿宋"/>
          <w:bCs/>
          <w:kern w:val="1"/>
          <w:sz w:val="32"/>
          <w:szCs w:val="32"/>
        </w:rPr>
      </w:pPr>
    </w:p>
    <w:p w14:paraId="188DC8D1"/>
    <w:p w14:paraId="7388B0BA">
      <w:pPr>
        <w:rPr>
          <w:rFonts w:ascii="仿宋" w:hAnsi="仿宋" w:eastAsia="仿宋" w:cs="仿宋"/>
          <w:bCs/>
          <w:kern w:val="1"/>
          <w:sz w:val="32"/>
          <w:szCs w:val="32"/>
        </w:rPr>
      </w:pPr>
    </w:p>
    <w:p w14:paraId="15267FB4">
      <w:pPr>
        <w:pStyle w:val="2"/>
      </w:pPr>
    </w:p>
    <w:p w14:paraId="28083951"/>
    <w:p w14:paraId="191D21A6">
      <w:pPr>
        <w:pStyle w:val="2"/>
      </w:pPr>
    </w:p>
    <w:p w14:paraId="41AF5ADE"/>
    <w:p w14:paraId="1C607518"/>
    <w:p w14:paraId="4E472EED">
      <w:pPr>
        <w:pStyle w:val="2"/>
        <w:pageBreakBefore w:val="0"/>
        <w:widowControl w:val="0"/>
        <w:kinsoku/>
        <w:wordWrap/>
        <w:overflowPunct/>
        <w:topLinePunct w:val="0"/>
        <w:autoSpaceDE/>
        <w:autoSpaceDN/>
        <w:bidi w:val="0"/>
        <w:adjustRightInd/>
        <w:spacing w:line="600" w:lineRule="exact"/>
        <w:textAlignment w:val="auto"/>
        <w:rPr>
          <w:rFonts w:hint="eastAsia" w:ascii="仿宋" w:hAnsi="仿宋" w:eastAsia="仿宋" w:cs="仿宋"/>
        </w:rPr>
      </w:pPr>
    </w:p>
    <w:p w14:paraId="3B61004F">
      <w:pPr>
        <w:jc w:val="center"/>
        <w:rPr>
          <w:sz w:val="32"/>
          <w:szCs w:val="32"/>
        </w:rPr>
      </w:pPr>
      <w:bookmarkStart w:id="64" w:name="_Toc1310849214_WPSOffice_Level1"/>
      <w:bookmarkStart w:id="65" w:name="_Toc20842"/>
      <w:bookmarkStart w:id="66" w:name="_Toc26710"/>
      <w:bookmarkStart w:id="67" w:name="_Toc23278"/>
      <w:bookmarkStart w:id="68" w:name="_Toc27969"/>
      <w:r>
        <w:rPr>
          <w:rFonts w:hint="eastAsia" w:ascii="方正小标宋简体" w:hAnsi="方正小标宋简体" w:eastAsia="方正小标宋简体" w:cs="方正小标宋简体"/>
          <w:sz w:val="44"/>
          <w:szCs w:val="44"/>
        </w:rPr>
        <w:t>第一章 发展基础及环境</w:t>
      </w:r>
      <w:bookmarkEnd w:id="64"/>
      <w:bookmarkEnd w:id="65"/>
      <w:bookmarkEnd w:id="66"/>
      <w:bookmarkEnd w:id="67"/>
      <w:bookmarkEnd w:id="68"/>
    </w:p>
    <w:p w14:paraId="69AAFF6A">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theme="minorBidi"/>
          <w:sz w:val="32"/>
          <w:szCs w:val="32"/>
        </w:rPr>
      </w:pPr>
      <w:r>
        <w:rPr>
          <w:rFonts w:hint="eastAsia" w:ascii="仿宋" w:hAnsi="仿宋" w:eastAsia="仿宋" w:cs="仿宋"/>
          <w:sz w:val="32"/>
          <w:szCs w:val="32"/>
        </w:rPr>
        <w:t>“十三五”时期，</w:t>
      </w:r>
      <w:r>
        <w:rPr>
          <w:rFonts w:hint="eastAsia" w:ascii="仿宋" w:hAnsi="仿宋" w:eastAsia="仿宋" w:cs="仿宋"/>
          <w:sz w:val="32"/>
          <w:szCs w:val="32"/>
          <w:lang w:eastAsia="zh-CN"/>
        </w:rPr>
        <w:t>锡林郭勒盟</w:t>
      </w:r>
      <w:r>
        <w:rPr>
          <w:rFonts w:hint="eastAsia" w:ascii="仿宋" w:hAnsi="仿宋" w:eastAsia="仿宋" w:cs="仿宋"/>
          <w:sz w:val="32"/>
          <w:szCs w:val="32"/>
        </w:rPr>
        <w:t>盟委、行署</w:t>
      </w:r>
      <w:r>
        <w:rPr>
          <w:rFonts w:hint="eastAsia" w:ascii="仿宋" w:hAnsi="仿宋" w:eastAsia="仿宋" w:cs="仿宋"/>
          <w:sz w:val="32"/>
          <w:szCs w:val="32"/>
          <w:lang w:eastAsia="zh-CN"/>
        </w:rPr>
        <w:t>坚持</w:t>
      </w:r>
      <w:r>
        <w:rPr>
          <w:rFonts w:hint="eastAsia" w:ascii="仿宋" w:hAnsi="仿宋" w:eastAsia="仿宋" w:cs="仿宋"/>
          <w:sz w:val="32"/>
          <w:szCs w:val="32"/>
        </w:rPr>
        <w:t>以习近平</w:t>
      </w:r>
      <w:r>
        <w:rPr>
          <w:rFonts w:hint="eastAsia" w:ascii="仿宋" w:hAnsi="仿宋" w:eastAsia="仿宋" w:cstheme="minorBidi"/>
          <w:sz w:val="32"/>
          <w:szCs w:val="32"/>
        </w:rPr>
        <w:t>新时代中国特色社会主义思想为指导，深入贯彻落实国家、自治区决策部署，始终把</w:t>
      </w:r>
      <w:r>
        <w:rPr>
          <w:rFonts w:ascii="仿宋" w:hAnsi="仿宋" w:eastAsia="仿宋" w:cstheme="minorBidi"/>
          <w:sz w:val="32"/>
          <w:szCs w:val="32"/>
        </w:rPr>
        <w:t>“三农三牧”作为</w:t>
      </w:r>
      <w:r>
        <w:rPr>
          <w:rFonts w:hint="eastAsia" w:ascii="仿宋" w:hAnsi="仿宋" w:eastAsia="仿宋" w:cstheme="minorBidi"/>
          <w:sz w:val="32"/>
          <w:szCs w:val="32"/>
        </w:rPr>
        <w:t>全</w:t>
      </w:r>
      <w:r>
        <w:rPr>
          <w:rFonts w:ascii="仿宋" w:hAnsi="仿宋" w:eastAsia="仿宋" w:cstheme="minorBidi"/>
          <w:sz w:val="32"/>
          <w:szCs w:val="32"/>
        </w:rPr>
        <w:t>盟工作重中之重，</w:t>
      </w:r>
      <w:r>
        <w:rPr>
          <w:rFonts w:hint="eastAsia" w:ascii="仿宋" w:hAnsi="仿宋" w:eastAsia="仿宋" w:cstheme="minorBidi"/>
          <w:sz w:val="32"/>
          <w:szCs w:val="32"/>
        </w:rPr>
        <w:t>以深化</w:t>
      </w:r>
      <w:r>
        <w:rPr>
          <w:rFonts w:ascii="仿宋" w:hAnsi="仿宋" w:eastAsia="仿宋" w:cstheme="minorBidi"/>
          <w:sz w:val="32"/>
          <w:szCs w:val="32"/>
        </w:rPr>
        <w:t>农牧业供给侧结构性改革</w:t>
      </w:r>
      <w:r>
        <w:rPr>
          <w:rFonts w:hint="eastAsia" w:ascii="仿宋" w:hAnsi="仿宋" w:eastAsia="仿宋" w:cstheme="minorBidi"/>
          <w:sz w:val="32"/>
          <w:szCs w:val="32"/>
        </w:rPr>
        <w:t>为主线</w:t>
      </w:r>
      <w:r>
        <w:rPr>
          <w:rFonts w:ascii="仿宋" w:hAnsi="仿宋" w:eastAsia="仿宋" w:cstheme="minorBidi"/>
          <w:sz w:val="32"/>
          <w:szCs w:val="32"/>
        </w:rPr>
        <w:t>，</w:t>
      </w:r>
      <w:r>
        <w:rPr>
          <w:rFonts w:hint="eastAsia" w:ascii="仿宋" w:hAnsi="仿宋" w:eastAsia="仿宋" w:cstheme="minorBidi"/>
          <w:sz w:val="32"/>
          <w:szCs w:val="32"/>
        </w:rPr>
        <w:t>加快转变农牧业发展方式</w:t>
      </w:r>
      <w:r>
        <w:rPr>
          <w:rFonts w:ascii="仿宋" w:hAnsi="仿宋" w:eastAsia="仿宋" w:cstheme="minorBidi"/>
          <w:sz w:val="32"/>
          <w:szCs w:val="32"/>
        </w:rPr>
        <w:t>，</w:t>
      </w:r>
      <w:r>
        <w:rPr>
          <w:rFonts w:hint="eastAsia" w:ascii="仿宋" w:hAnsi="仿宋" w:eastAsia="仿宋" w:cstheme="minorBidi"/>
          <w:sz w:val="32"/>
          <w:szCs w:val="32"/>
        </w:rPr>
        <w:t>全面深化农村</w:t>
      </w:r>
      <w:r>
        <w:rPr>
          <w:rFonts w:ascii="仿宋" w:hAnsi="仿宋" w:eastAsia="仿宋" w:cstheme="minorBidi"/>
          <w:sz w:val="32"/>
          <w:szCs w:val="32"/>
        </w:rPr>
        <w:t>牧区改革，</w:t>
      </w:r>
      <w:r>
        <w:rPr>
          <w:rFonts w:hint="eastAsia" w:ascii="仿宋" w:hAnsi="仿宋" w:eastAsia="仿宋" w:cstheme="minorBidi"/>
          <w:sz w:val="32"/>
          <w:szCs w:val="32"/>
        </w:rPr>
        <w:t>农牧业农村牧区各项工作</w:t>
      </w:r>
      <w:r>
        <w:rPr>
          <w:rFonts w:ascii="仿宋" w:hAnsi="仿宋" w:eastAsia="仿宋" w:cstheme="minorBidi"/>
          <w:sz w:val="32"/>
          <w:szCs w:val="32"/>
        </w:rPr>
        <w:t>取得了新</w:t>
      </w:r>
      <w:r>
        <w:rPr>
          <w:rFonts w:hint="eastAsia" w:ascii="仿宋" w:hAnsi="仿宋" w:eastAsia="仿宋" w:cstheme="minorBidi"/>
          <w:sz w:val="32"/>
          <w:szCs w:val="32"/>
          <w:lang w:eastAsia="zh-CN"/>
        </w:rPr>
        <w:t>成效</w:t>
      </w:r>
      <w:r>
        <w:rPr>
          <w:rFonts w:ascii="仿宋" w:hAnsi="仿宋" w:eastAsia="仿宋" w:cstheme="minorBidi"/>
          <w:sz w:val="32"/>
          <w:szCs w:val="32"/>
        </w:rPr>
        <w:t>。</w:t>
      </w:r>
      <w:bookmarkStart w:id="69" w:name="_Toc60561645"/>
      <w:bookmarkStart w:id="70" w:name="_Toc58870061"/>
      <w:bookmarkStart w:id="71" w:name="_Toc30978"/>
      <w:bookmarkStart w:id="72" w:name="_Toc2259"/>
      <w:bookmarkStart w:id="73" w:name="_Toc4315"/>
      <w:bookmarkStart w:id="74" w:name="_Toc59000469"/>
    </w:p>
    <w:p w14:paraId="73F21A02">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2"/>
        </w:rPr>
      </w:pPr>
      <w:bookmarkStart w:id="75" w:name="_Toc22713"/>
      <w:bookmarkStart w:id="76" w:name="_Toc121"/>
      <w:bookmarkStart w:id="77" w:name="_Toc30736"/>
      <w:bookmarkStart w:id="78" w:name="_Toc1310849214_WPSOffice_Level2"/>
      <w:bookmarkStart w:id="79" w:name="_Toc27331"/>
      <w:r>
        <w:rPr>
          <w:rFonts w:hint="eastAsia" w:ascii="Calibri Light" w:hAnsi="Calibri Light" w:cs="Times New Roman"/>
          <w:b w:val="0"/>
          <w:bCs w:val="0"/>
          <w:sz w:val="32"/>
          <w:szCs w:val="32"/>
        </w:rPr>
        <w:t>第一节 发展</w:t>
      </w:r>
      <w:bookmarkEnd w:id="69"/>
      <w:bookmarkEnd w:id="70"/>
      <w:bookmarkEnd w:id="71"/>
      <w:bookmarkEnd w:id="72"/>
      <w:bookmarkEnd w:id="73"/>
      <w:bookmarkEnd w:id="74"/>
      <w:bookmarkStart w:id="80" w:name="_Toc24432"/>
      <w:bookmarkStart w:id="81" w:name="_Toc28116"/>
      <w:bookmarkStart w:id="82" w:name="_Toc25156"/>
      <w:bookmarkStart w:id="83" w:name="_Toc59000471"/>
      <w:bookmarkStart w:id="84" w:name="_Toc58870063"/>
      <w:r>
        <w:rPr>
          <w:rFonts w:hint="eastAsia" w:ascii="Calibri Light" w:hAnsi="Calibri Light" w:cs="Times New Roman"/>
          <w:b w:val="0"/>
          <w:bCs w:val="0"/>
          <w:sz w:val="32"/>
          <w:szCs w:val="32"/>
        </w:rPr>
        <w:t>基础</w:t>
      </w:r>
      <w:bookmarkEnd w:id="75"/>
      <w:bookmarkEnd w:id="76"/>
      <w:bookmarkEnd w:id="77"/>
      <w:bookmarkEnd w:id="78"/>
      <w:bookmarkEnd w:id="79"/>
    </w:p>
    <w:bookmarkEnd w:id="80"/>
    <w:bookmarkEnd w:id="81"/>
    <w:bookmarkEnd w:id="82"/>
    <w:bookmarkEnd w:id="83"/>
    <w:bookmarkEnd w:id="84"/>
    <w:p w14:paraId="20596666">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val="0"/>
          <w:sz w:val="32"/>
          <w:szCs w:val="32"/>
        </w:rPr>
        <w:t>农牧业综合生产能力</w:t>
      </w:r>
      <w:r>
        <w:rPr>
          <w:rFonts w:hint="eastAsia" w:ascii="仿宋" w:hAnsi="仿宋" w:eastAsia="仿宋" w:cs="仿宋"/>
          <w:b/>
          <w:bCs w:val="0"/>
          <w:sz w:val="32"/>
          <w:szCs w:val="32"/>
          <w:lang w:eastAsia="zh-CN"/>
        </w:rPr>
        <w:t>稳步</w:t>
      </w:r>
      <w:r>
        <w:rPr>
          <w:rFonts w:hint="eastAsia" w:ascii="仿宋" w:hAnsi="仿宋" w:eastAsia="仿宋" w:cs="仿宋"/>
          <w:b/>
          <w:bCs w:val="0"/>
          <w:sz w:val="32"/>
          <w:szCs w:val="32"/>
        </w:rPr>
        <w:t>提升。</w:t>
      </w:r>
      <w:r>
        <w:rPr>
          <w:rFonts w:hint="eastAsia" w:ascii="仿宋" w:hAnsi="仿宋" w:eastAsia="仿宋" w:cs="仿宋"/>
          <w:sz w:val="32"/>
          <w:szCs w:val="32"/>
        </w:rPr>
        <w:t>因地制宜实施“减羊增牛”战略，2020年，全盟肉牛存栏172.96万头，比2015年增</w:t>
      </w:r>
      <w:r>
        <w:rPr>
          <w:rFonts w:hint="eastAsia" w:ascii="仿宋" w:hAnsi="仿宋" w:eastAsia="仿宋" w:cs="仿宋"/>
          <w:sz w:val="32"/>
          <w:szCs w:val="32"/>
          <w:lang w:eastAsia="zh-CN"/>
        </w:rPr>
        <w:t>长</w:t>
      </w:r>
      <w:r>
        <w:rPr>
          <w:rFonts w:hint="eastAsia" w:ascii="仿宋" w:hAnsi="仿宋" w:eastAsia="仿宋" w:cs="仿宋"/>
          <w:sz w:val="32"/>
          <w:szCs w:val="32"/>
        </w:rPr>
        <w:t>25%，其中</w:t>
      </w:r>
      <w:r>
        <w:rPr>
          <w:rFonts w:hint="eastAsia" w:ascii="仿宋" w:hAnsi="仿宋" w:eastAsia="仿宋" w:cs="仿宋"/>
          <w:sz w:val="32"/>
          <w:szCs w:val="32"/>
          <w:lang w:eastAsia="zh-CN"/>
        </w:rPr>
        <w:t>：</w:t>
      </w:r>
      <w:r>
        <w:rPr>
          <w:rFonts w:hint="eastAsia" w:ascii="仿宋" w:hAnsi="仿宋" w:eastAsia="仿宋" w:cs="仿宋"/>
          <w:sz w:val="32"/>
          <w:szCs w:val="32"/>
        </w:rPr>
        <w:t>安格斯肉牛达到8万头，居全区首位；肉羊存栏1110.27万只，比2015年</w:t>
      </w:r>
      <w:r>
        <w:rPr>
          <w:rFonts w:hint="eastAsia" w:ascii="仿宋" w:hAnsi="仿宋" w:eastAsia="仿宋" w:cs="仿宋"/>
          <w:sz w:val="32"/>
          <w:szCs w:val="32"/>
          <w:lang w:eastAsia="zh-CN"/>
        </w:rPr>
        <w:t>下降</w:t>
      </w:r>
      <w:r>
        <w:rPr>
          <w:rFonts w:hint="eastAsia" w:ascii="仿宋" w:hAnsi="仿宋" w:eastAsia="仿宋" w:cs="仿宋"/>
          <w:sz w:val="32"/>
          <w:szCs w:val="32"/>
        </w:rPr>
        <w:t>20%</w:t>
      </w:r>
      <w:r>
        <w:rPr>
          <w:rFonts w:hint="eastAsia" w:ascii="仿宋" w:hAnsi="仿宋" w:eastAsia="仿宋" w:cs="仿宋"/>
          <w:sz w:val="32"/>
          <w:szCs w:val="32"/>
          <w:lang w:eastAsia="zh-CN"/>
        </w:rPr>
        <w:t>，畜牧业产业结构渐趋优化</w:t>
      </w:r>
      <w:r>
        <w:rPr>
          <w:rFonts w:hint="eastAsia" w:ascii="仿宋" w:hAnsi="仿宋" w:eastAsia="仿宋" w:cs="仿宋"/>
          <w:sz w:val="32"/>
          <w:szCs w:val="32"/>
        </w:rPr>
        <w:t>。牛羊肉</w:t>
      </w:r>
      <w:r>
        <w:rPr>
          <w:rFonts w:hint="eastAsia" w:ascii="仿宋" w:hAnsi="仿宋" w:eastAsia="仿宋" w:cs="仿宋"/>
          <w:sz w:val="32"/>
          <w:szCs w:val="32"/>
          <w:lang w:eastAsia="zh-CN"/>
        </w:rPr>
        <w:t>产量</w:t>
      </w:r>
      <w:r>
        <w:rPr>
          <w:rFonts w:hint="eastAsia" w:ascii="仿宋" w:hAnsi="仿宋" w:eastAsia="仿宋" w:cs="仿宋"/>
          <w:sz w:val="32"/>
          <w:szCs w:val="32"/>
        </w:rPr>
        <w:t>达到25.94万吨，比2015年增长4.1%</w:t>
      </w:r>
      <w:r>
        <w:rPr>
          <w:rFonts w:hint="eastAsia" w:ascii="仿宋" w:hAnsi="仿宋" w:eastAsia="仿宋" w:cs="仿宋"/>
          <w:sz w:val="32"/>
          <w:szCs w:val="32"/>
          <w:lang w:eastAsia="zh-CN"/>
        </w:rPr>
        <w:t>。</w:t>
      </w:r>
      <w:r>
        <w:rPr>
          <w:rFonts w:hint="eastAsia" w:ascii="仿宋" w:hAnsi="仿宋" w:eastAsia="仿宋" w:cs="仿宋"/>
          <w:sz w:val="32"/>
          <w:szCs w:val="32"/>
        </w:rPr>
        <w:t>落实草原生态保护政策，草原综合植被盖度达到</w:t>
      </w:r>
      <w:r>
        <w:rPr>
          <w:rFonts w:hint="eastAsia" w:ascii="仿宋" w:hAnsi="仿宋" w:eastAsia="仿宋" w:cs="仿宋"/>
          <w:sz w:val="32"/>
          <w:szCs w:val="32"/>
          <w:lang w:val="en-US" w:eastAsia="zh-CN"/>
        </w:rPr>
        <w:t>50.09</w:t>
      </w:r>
      <w:r>
        <w:rPr>
          <w:rFonts w:hint="eastAsia" w:ascii="仿宋" w:hAnsi="仿宋" w:eastAsia="仿宋" w:cs="仿宋"/>
          <w:sz w:val="32"/>
          <w:szCs w:val="32"/>
        </w:rPr>
        <w:t>%，</w:t>
      </w:r>
      <w:r>
        <w:rPr>
          <w:rFonts w:hint="eastAsia" w:ascii="仿宋" w:hAnsi="仿宋" w:eastAsia="仿宋" w:cs="仿宋"/>
          <w:sz w:val="32"/>
          <w:szCs w:val="32"/>
          <w:lang w:eastAsia="zh-CN"/>
        </w:rPr>
        <w:t>实现</w:t>
      </w:r>
      <w:r>
        <w:rPr>
          <w:rFonts w:hint="eastAsia" w:ascii="仿宋" w:hAnsi="仿宋" w:eastAsia="仿宋" w:cs="仿宋"/>
          <w:sz w:val="32"/>
          <w:szCs w:val="32"/>
        </w:rPr>
        <w:t>草原生态保护和畜牧业发展“双赢”。粮食产量达到46.5万吨，比2015年增长25%，种植业标准化生产面积达到240.29万亩，划定粮食生产功能区85万亩。</w:t>
      </w:r>
    </w:p>
    <w:p w14:paraId="1BE3C219">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val="0"/>
          <w:sz w:val="32"/>
          <w:szCs w:val="32"/>
        </w:rPr>
        <w:t>三产融合发展格局基本形成。</w:t>
      </w:r>
      <w:r>
        <w:rPr>
          <w:rFonts w:hint="eastAsia" w:ascii="仿宋" w:hAnsi="仿宋" w:eastAsia="仿宋" w:cs="仿宋"/>
          <w:sz w:val="32"/>
          <w:szCs w:val="32"/>
        </w:rPr>
        <w:t>初步构建</w:t>
      </w:r>
      <w:r>
        <w:rPr>
          <w:rFonts w:hint="eastAsia" w:ascii="仿宋" w:hAnsi="仿宋" w:eastAsia="仿宋" w:cs="仿宋"/>
          <w:sz w:val="32"/>
          <w:szCs w:val="32"/>
          <w:lang w:eastAsia="zh-CN"/>
        </w:rPr>
        <w:t>集良种繁育、规模种养</w:t>
      </w:r>
      <w:r>
        <w:rPr>
          <w:rFonts w:hint="eastAsia" w:ascii="仿宋" w:hAnsi="仿宋" w:eastAsia="仿宋" w:cs="仿宋"/>
          <w:sz w:val="32"/>
          <w:szCs w:val="32"/>
        </w:rPr>
        <w:t>、</w:t>
      </w:r>
      <w:r>
        <w:rPr>
          <w:rFonts w:hint="eastAsia" w:ascii="仿宋" w:hAnsi="仿宋" w:eastAsia="仿宋" w:cs="仿宋"/>
          <w:sz w:val="32"/>
          <w:szCs w:val="32"/>
          <w:lang w:eastAsia="zh-CN"/>
        </w:rPr>
        <w:t>精深</w:t>
      </w:r>
      <w:r>
        <w:rPr>
          <w:rFonts w:hint="eastAsia" w:ascii="仿宋" w:hAnsi="仿宋" w:eastAsia="仿宋" w:cs="仿宋"/>
          <w:sz w:val="32"/>
          <w:szCs w:val="32"/>
        </w:rPr>
        <w:t>加工、</w:t>
      </w:r>
      <w:r>
        <w:rPr>
          <w:rFonts w:hint="eastAsia" w:ascii="仿宋" w:hAnsi="仿宋" w:eastAsia="仿宋" w:cs="仿宋"/>
          <w:sz w:val="32"/>
          <w:szCs w:val="32"/>
          <w:lang w:eastAsia="zh-CN"/>
        </w:rPr>
        <w:t>销售服务于一体的</w:t>
      </w:r>
      <w:r>
        <w:rPr>
          <w:rFonts w:hint="eastAsia" w:ascii="仿宋" w:hAnsi="仿宋" w:eastAsia="仿宋" w:cs="仿宋"/>
          <w:sz w:val="32"/>
          <w:szCs w:val="32"/>
        </w:rPr>
        <w:t>全产业链发展模式，农企利益联结机制</w:t>
      </w:r>
      <w:r>
        <w:rPr>
          <w:rFonts w:hint="eastAsia" w:ascii="仿宋" w:hAnsi="仿宋" w:eastAsia="仿宋" w:cs="仿宋"/>
          <w:sz w:val="32"/>
          <w:szCs w:val="32"/>
          <w:lang w:eastAsia="zh-CN"/>
        </w:rPr>
        <w:t>不断</w:t>
      </w:r>
      <w:r>
        <w:rPr>
          <w:rFonts w:hint="eastAsia" w:ascii="仿宋" w:hAnsi="仿宋" w:eastAsia="仿宋" w:cs="仿宋"/>
          <w:sz w:val="32"/>
          <w:szCs w:val="32"/>
        </w:rPr>
        <w:t>完善。创建国家产业集群1个、国家产业强镇2个、自治区产业园1个，农牧业龙头企业达到97家。年平均屠宰加工肉羊400万只、肉牛2万头，肉类产品精细分割率达到65%以上，农畜产品加工转化率达到67%。“锡林郭勒羊”成功跻身“2017中国百强农产品区域公用品牌”、“中国特色农产品优势区”</w:t>
      </w:r>
      <w:r>
        <w:rPr>
          <w:rFonts w:hint="eastAsia" w:ascii="仿宋" w:hAnsi="仿宋" w:eastAsia="仿宋" w:cs="仿宋"/>
          <w:color w:val="000000" w:themeColor="text1"/>
          <w:sz w:val="32"/>
          <w:szCs w:val="32"/>
        </w:rPr>
        <w:t>，</w:t>
      </w:r>
      <w:r>
        <w:rPr>
          <w:rFonts w:hint="eastAsia" w:ascii="仿宋" w:hAnsi="仿宋" w:eastAsia="仿宋" w:cs="仿宋"/>
          <w:sz w:val="32"/>
          <w:szCs w:val="32"/>
        </w:rPr>
        <w:t>“乌珠穆沁羊肉”和“苏尼特羊肉”成为国家原产地地理标志保护产品</w:t>
      </w:r>
      <w:r>
        <w:rPr>
          <w:rFonts w:hint="eastAsia" w:ascii="仿宋" w:hAnsi="仿宋" w:eastAsia="仿宋" w:cs="仿宋"/>
          <w:color w:val="000000" w:themeColor="text1"/>
          <w:sz w:val="32"/>
          <w:szCs w:val="32"/>
        </w:rPr>
        <w:t>，</w:t>
      </w:r>
      <w:r>
        <w:rPr>
          <w:rFonts w:hint="eastAsia" w:ascii="仿宋" w:hAnsi="仿宋" w:eastAsia="仿宋" w:cs="仿宋"/>
          <w:sz w:val="32"/>
          <w:szCs w:val="32"/>
        </w:rPr>
        <w:t>“锡林郭勒奶酪”成为中国农产品地理标志登记产品。</w:t>
      </w:r>
    </w:p>
    <w:p w14:paraId="604D6171">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val="0"/>
          <w:sz w:val="32"/>
          <w:szCs w:val="32"/>
        </w:rPr>
        <w:t>农牧业科技水平稳步提高。</w:t>
      </w:r>
      <w:r>
        <w:rPr>
          <w:rFonts w:hint="eastAsia" w:ascii="仿宋" w:hAnsi="仿宋" w:eastAsia="仿宋" w:cs="仿宋"/>
          <w:sz w:val="32"/>
          <w:szCs w:val="32"/>
        </w:rPr>
        <w:t>重点围绕良种繁育、绿色种养、产地环境净化、机械化作业等农牧业生产关键环节，集成推广提质量、保安全、促循环的农牧业生产新技术、新模式，创建了一批长期稳定</w:t>
      </w:r>
      <w:r>
        <w:rPr>
          <w:rFonts w:hint="eastAsia" w:ascii="仿宋" w:hAnsi="仿宋" w:eastAsia="仿宋" w:cs="仿宋"/>
          <w:sz w:val="32"/>
          <w:szCs w:val="32"/>
          <w:lang w:eastAsia="zh-CN"/>
        </w:rPr>
        <w:t>的</w:t>
      </w:r>
      <w:r>
        <w:rPr>
          <w:rFonts w:hint="eastAsia" w:ascii="仿宋" w:hAnsi="仿宋" w:eastAsia="仿宋" w:cs="仿宋"/>
          <w:sz w:val="32"/>
          <w:szCs w:val="32"/>
        </w:rPr>
        <w:t>农牧业绿色生产试验示范推广基地，农技人员和农牧民现代技术运用能力明显提升。全盟畜牧业机械化率达到44%，</w:t>
      </w:r>
      <w:r>
        <w:rPr>
          <w:rFonts w:hint="eastAsia" w:ascii="仿宋" w:hAnsi="仿宋" w:eastAsia="仿宋" w:cs="仿宋"/>
          <w:color w:val="000000" w:themeColor="text1"/>
          <w:sz w:val="32"/>
          <w:szCs w:val="32"/>
        </w:rPr>
        <w:t>农作物耕种收综合机械化率达到90%，</w:t>
      </w:r>
      <w:r>
        <w:rPr>
          <w:rFonts w:hint="eastAsia" w:ascii="仿宋" w:hAnsi="仿宋" w:eastAsia="仿宋" w:cs="仿宋"/>
          <w:sz w:val="32"/>
          <w:szCs w:val="32"/>
        </w:rPr>
        <w:t>农牧业科技进步贡献率达到49.13%，30余项农牧业实用技术得到广泛推广应用。培育高素质农牧民6800余人，每年500余名农技人员接受能力提升培训，农牧业主推技术到位率达</w:t>
      </w:r>
      <w:r>
        <w:rPr>
          <w:rFonts w:hint="eastAsia" w:ascii="仿宋" w:hAnsi="仿宋" w:eastAsia="仿宋" w:cs="仿宋"/>
          <w:sz w:val="32"/>
          <w:szCs w:val="32"/>
          <w:lang w:eastAsia="zh-CN"/>
        </w:rPr>
        <w:t>到</w:t>
      </w:r>
      <w:r>
        <w:rPr>
          <w:rFonts w:hint="eastAsia" w:ascii="仿宋" w:hAnsi="仿宋" w:eastAsia="仿宋" w:cs="仿宋"/>
          <w:sz w:val="32"/>
          <w:szCs w:val="32"/>
        </w:rPr>
        <w:t>95%以上。坚持“产管”并举，绿色、有机、地理标志农畜产品总数达到60个。监管检测能力显著提升，质量安全形势稳中向好，农畜产品</w:t>
      </w:r>
      <w:r>
        <w:rPr>
          <w:rFonts w:hint="eastAsia" w:ascii="仿宋" w:hAnsi="仿宋" w:eastAsia="仿宋" w:cs="仿宋"/>
          <w:sz w:val="32"/>
          <w:szCs w:val="32"/>
          <w:lang w:eastAsia="zh-CN"/>
        </w:rPr>
        <w:t>检测</w:t>
      </w:r>
      <w:r>
        <w:rPr>
          <w:rFonts w:hint="eastAsia" w:ascii="仿宋" w:hAnsi="仿宋" w:eastAsia="仿宋" w:cs="仿宋"/>
          <w:sz w:val="32"/>
          <w:szCs w:val="32"/>
        </w:rPr>
        <w:t>合格率连续5年保持在98%以上。</w:t>
      </w:r>
    </w:p>
    <w:p w14:paraId="425D444B">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Cs/>
          <w:sz w:val="32"/>
          <w:szCs w:val="32"/>
        </w:rPr>
      </w:pPr>
      <w:bookmarkStart w:id="85" w:name="_Toc58870064"/>
      <w:bookmarkStart w:id="86" w:name="_Toc7410"/>
      <w:bookmarkStart w:id="87" w:name="_Toc15620"/>
      <w:bookmarkStart w:id="88" w:name="_Toc58870065"/>
      <w:bookmarkStart w:id="89" w:name="_Toc59000472"/>
      <w:bookmarkStart w:id="90" w:name="_Toc20459"/>
      <w:bookmarkStart w:id="91" w:name="_Toc26280"/>
      <w:bookmarkStart w:id="92" w:name="_Toc30866"/>
      <w:bookmarkStart w:id="93" w:name="_Toc59000473"/>
      <w:bookmarkStart w:id="94" w:name="_Toc9512"/>
      <w:r>
        <w:rPr>
          <w:rFonts w:hint="eastAsia" w:ascii="仿宋" w:hAnsi="仿宋" w:eastAsia="仿宋" w:cs="仿宋"/>
          <w:b/>
          <w:bCs w:val="0"/>
          <w:sz w:val="32"/>
          <w:szCs w:val="32"/>
        </w:rPr>
        <w:t>农村牧区人居环境持续改善。</w:t>
      </w:r>
      <w:r>
        <w:rPr>
          <w:rFonts w:hint="eastAsia" w:ascii="仿宋" w:hAnsi="仿宋" w:eastAsia="仿宋" w:cs="仿宋"/>
          <w:bCs/>
          <w:sz w:val="32"/>
          <w:szCs w:val="32"/>
        </w:rPr>
        <w:t>具备条件的苏木乡镇和建制嘎查村硬化路实现全覆盖，农村牧区饮水安全工程实现全覆盖，电网供电可靠率达到99.</w:t>
      </w:r>
      <w:r>
        <w:rPr>
          <w:rFonts w:hint="eastAsia" w:ascii="仿宋" w:hAnsi="仿宋" w:eastAsia="仿宋" w:cs="仿宋"/>
          <w:bCs/>
          <w:sz w:val="32"/>
          <w:szCs w:val="32"/>
          <w:lang w:val="en-US" w:eastAsia="zh-CN"/>
        </w:rPr>
        <w:t>5</w:t>
      </w:r>
      <w:r>
        <w:rPr>
          <w:rFonts w:hint="eastAsia" w:ascii="仿宋" w:hAnsi="仿宋" w:eastAsia="仿宋" w:cs="仿宋"/>
          <w:bCs/>
          <w:sz w:val="32"/>
          <w:szCs w:val="32"/>
        </w:rPr>
        <w:t>%以上，</w:t>
      </w:r>
      <w:r>
        <w:rPr>
          <w:rFonts w:hint="eastAsia" w:ascii="仿宋" w:hAnsi="仿宋" w:eastAsia="仿宋" w:cs="仿宋"/>
          <w:bCs/>
          <w:sz w:val="32"/>
          <w:szCs w:val="32"/>
          <w:lang w:eastAsia="zh-CN"/>
        </w:rPr>
        <w:t>宽带</w:t>
      </w:r>
      <w:r>
        <w:rPr>
          <w:rFonts w:hint="eastAsia" w:ascii="仿宋" w:hAnsi="仿宋" w:eastAsia="仿宋" w:cs="仿宋"/>
          <w:bCs/>
          <w:sz w:val="32"/>
          <w:szCs w:val="32"/>
        </w:rPr>
        <w:t>网络覆盖率提升到9</w:t>
      </w:r>
      <w:r>
        <w:rPr>
          <w:rFonts w:hint="eastAsia" w:ascii="仿宋" w:hAnsi="仿宋" w:eastAsia="仿宋" w:cs="仿宋"/>
          <w:bCs/>
          <w:sz w:val="32"/>
          <w:szCs w:val="32"/>
          <w:lang w:val="en-US" w:eastAsia="zh-CN"/>
        </w:rPr>
        <w:t>7</w:t>
      </w:r>
      <w:r>
        <w:rPr>
          <w:rFonts w:hint="eastAsia" w:ascii="仿宋" w:hAnsi="仿宋" w:eastAsia="仿宋" w:cs="仿宋"/>
          <w:bCs/>
          <w:sz w:val="32"/>
          <w:szCs w:val="32"/>
        </w:rPr>
        <w:t>%以上。农村牧区人居环境整治三年行动目标圆满完成，70%以上嘎查村建立了人居环境长效管护机制。全盟农村牧区卫厕改造</w:t>
      </w:r>
      <w:r>
        <w:rPr>
          <w:rFonts w:hint="eastAsia" w:ascii="仿宋" w:hAnsi="仿宋" w:eastAsia="仿宋" w:cs="仿宋"/>
          <w:bCs/>
          <w:sz w:val="32"/>
          <w:szCs w:val="32"/>
          <w:lang w:val="en-US" w:eastAsia="zh-CN"/>
        </w:rPr>
        <w:t>3.79</w:t>
      </w:r>
      <w:r>
        <w:rPr>
          <w:rFonts w:hint="eastAsia" w:ascii="仿宋" w:hAnsi="仿宋" w:eastAsia="仿宋" w:cs="仿宋"/>
          <w:bCs/>
          <w:sz w:val="32"/>
          <w:szCs w:val="32"/>
        </w:rPr>
        <w:t>万户，普及率达到</w:t>
      </w:r>
      <w:r>
        <w:rPr>
          <w:rFonts w:hint="eastAsia" w:ascii="仿宋" w:hAnsi="仿宋" w:eastAsia="仿宋" w:cs="仿宋"/>
          <w:bCs/>
          <w:sz w:val="32"/>
          <w:szCs w:val="32"/>
          <w:lang w:val="en-US" w:eastAsia="zh-CN"/>
        </w:rPr>
        <w:t>35.6%</w:t>
      </w:r>
      <w:r>
        <w:rPr>
          <w:rFonts w:hint="eastAsia" w:ascii="仿宋" w:hAnsi="仿宋" w:eastAsia="仿宋" w:cs="仿宋"/>
          <w:bCs/>
          <w:color w:val="0000FF"/>
          <w:sz w:val="32"/>
          <w:szCs w:val="32"/>
        </w:rPr>
        <w:t>。</w:t>
      </w:r>
      <w:r>
        <w:rPr>
          <w:rFonts w:hint="eastAsia" w:ascii="仿宋" w:hAnsi="仿宋" w:eastAsia="仿宋" w:cs="仿宋"/>
          <w:bCs/>
          <w:sz w:val="32"/>
          <w:szCs w:val="32"/>
        </w:rPr>
        <w:t>畜禽粪污资源化利用率达到81%，大型规模养殖场粪污处理设施配套率达到100%。95.32%的行政嘎查村基本建立生活垃圾收运体系，所有嘎查村</w:t>
      </w:r>
      <w:r>
        <w:rPr>
          <w:rFonts w:hint="eastAsia" w:ascii="仿宋" w:hAnsi="仿宋" w:eastAsia="仿宋" w:cs="仿宋"/>
          <w:bCs/>
          <w:sz w:val="32"/>
          <w:szCs w:val="32"/>
          <w:lang w:eastAsia="zh-CN"/>
        </w:rPr>
        <w:t>均</w:t>
      </w:r>
      <w:r>
        <w:rPr>
          <w:rFonts w:hint="eastAsia" w:ascii="仿宋" w:hAnsi="仿宋" w:eastAsia="仿宋" w:cs="仿宋"/>
          <w:bCs/>
          <w:sz w:val="32"/>
          <w:szCs w:val="32"/>
        </w:rPr>
        <w:t>开展了清洁行动，实现了常态化保洁。</w:t>
      </w:r>
    </w:p>
    <w:p w14:paraId="7656D1B1">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val="0"/>
          <w:sz w:val="32"/>
          <w:szCs w:val="32"/>
        </w:rPr>
        <w:t>农村牧区综合改革稳步推进。</w:t>
      </w:r>
      <w:r>
        <w:rPr>
          <w:rFonts w:hint="eastAsia" w:ascii="仿宋" w:hAnsi="仿宋" w:eastAsia="仿宋" w:cs="仿宋"/>
          <w:sz w:val="32"/>
          <w:szCs w:val="32"/>
        </w:rPr>
        <w:t>农村牧区集体产权制度改革工作基本完成，850个嘎查村全部开展了集体资产清产核资工作，集体经济组织成员身份全部确认，全部成立股份（经济）合作社。农垦改革基本完成，9家国有农牧场基本完成土地确权发证任务，6家国有农牧场社会职能移交地方管理。土地承包经营权登记颁证、草原确权承包工作基本完成，土地草原承包“三权”分置改革取得实质性进展。阿巴嘎旗全区牧区现代化试点工作稳步推进。</w:t>
      </w:r>
    </w:p>
    <w:bookmarkEnd w:id="85"/>
    <w:bookmarkEnd w:id="86"/>
    <w:bookmarkEnd w:id="87"/>
    <w:bookmarkEnd w:id="88"/>
    <w:bookmarkEnd w:id="89"/>
    <w:bookmarkEnd w:id="90"/>
    <w:bookmarkEnd w:id="91"/>
    <w:bookmarkEnd w:id="92"/>
    <w:bookmarkEnd w:id="93"/>
    <w:bookmarkEnd w:id="94"/>
    <w:p w14:paraId="14131887">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val="0"/>
          <w:sz w:val="32"/>
          <w:szCs w:val="32"/>
        </w:rPr>
        <w:t>乡村振兴实现良好开局。</w:t>
      </w:r>
      <w:r>
        <w:rPr>
          <w:rFonts w:hint="eastAsia" w:ascii="仿宋" w:hAnsi="仿宋" w:eastAsia="仿宋" w:cs="仿宋"/>
          <w:sz w:val="32"/>
          <w:szCs w:val="32"/>
        </w:rPr>
        <w:t>脱贫攻坚取得决定性胜利，现行标准下3个国贫旗县和5个区贫旗县全部摘帽</w:t>
      </w:r>
      <w:r>
        <w:rPr>
          <w:rFonts w:hint="eastAsia" w:ascii="仿宋" w:hAnsi="仿宋" w:eastAsia="仿宋" w:cs="仿宋"/>
          <w:sz w:val="32"/>
          <w:szCs w:val="32"/>
          <w:lang w:eastAsia="zh-CN"/>
        </w:rPr>
        <w:t>，</w:t>
      </w:r>
      <w:r>
        <w:rPr>
          <w:rFonts w:hint="eastAsia" w:ascii="仿宋" w:hAnsi="仿宋" w:eastAsia="仿宋" w:cs="仿宋"/>
          <w:sz w:val="32"/>
          <w:szCs w:val="32"/>
        </w:rPr>
        <w:t>2.2万户、5.2万贫困人口全部脱贫。农村牧区基础设施加快建设，教育、医疗、养老等公共服务水平不断提升，</w:t>
      </w:r>
      <w:r>
        <w:rPr>
          <w:rFonts w:hint="eastAsia" w:ascii="仿宋" w:hAnsi="仿宋" w:eastAsia="仿宋" w:cs="仿宋"/>
          <w:sz w:val="32"/>
          <w:szCs w:val="32"/>
          <w:lang w:eastAsia="zh-CN"/>
        </w:rPr>
        <w:t>乡村</w:t>
      </w:r>
      <w:r>
        <w:rPr>
          <w:rFonts w:hint="eastAsia" w:ascii="仿宋" w:hAnsi="仿宋" w:eastAsia="仿宋" w:cs="仿宋"/>
          <w:sz w:val="32"/>
          <w:szCs w:val="32"/>
        </w:rPr>
        <w:t>治理体系进一步完善，</w:t>
      </w:r>
      <w:r>
        <w:rPr>
          <w:rFonts w:hint="eastAsia" w:ascii="仿宋" w:hAnsi="仿宋" w:eastAsia="仿宋" w:cs="仿宋"/>
          <w:sz w:val="32"/>
          <w:szCs w:val="32"/>
          <w:lang w:eastAsia="zh-CN"/>
        </w:rPr>
        <w:t>农村</w:t>
      </w:r>
      <w:r>
        <w:rPr>
          <w:rFonts w:hint="eastAsia" w:ascii="仿宋" w:hAnsi="仿宋" w:eastAsia="仿宋" w:cs="仿宋"/>
          <w:sz w:val="32"/>
          <w:szCs w:val="32"/>
        </w:rPr>
        <w:t>牧区面貌焕发新气象。2020年，全盟农牧民人均可支配收入达到18864元，比2015年增加6642元，增长</w:t>
      </w:r>
      <w:r>
        <w:rPr>
          <w:rFonts w:hint="eastAsia" w:ascii="仿宋" w:hAnsi="仿宋" w:eastAsia="仿宋" w:cs="仿宋"/>
          <w:color w:val="000000" w:themeColor="text1"/>
          <w:sz w:val="32"/>
          <w:szCs w:val="32"/>
        </w:rPr>
        <w:t>54.3</w:t>
      </w:r>
      <w:r>
        <w:rPr>
          <w:rFonts w:hint="eastAsia" w:ascii="仿宋" w:hAnsi="仿宋" w:eastAsia="仿宋" w:cs="仿宋"/>
          <w:sz w:val="32"/>
          <w:szCs w:val="32"/>
        </w:rPr>
        <w:t>%。城乡居民收入差距持续缩小，全盟城乡居民收入比为2.19：1，低于全区2.5：1水平。</w:t>
      </w:r>
      <w:bookmarkEnd w:id="4"/>
      <w:bookmarkEnd w:id="5"/>
      <w:bookmarkEnd w:id="6"/>
      <w:bookmarkEnd w:id="7"/>
      <w:bookmarkEnd w:id="8"/>
      <w:bookmarkEnd w:id="9"/>
      <w:bookmarkStart w:id="95" w:name="_Toc28839"/>
      <w:bookmarkStart w:id="96" w:name="_Toc9407"/>
      <w:bookmarkStart w:id="97" w:name="_Toc23895"/>
      <w:bookmarkStart w:id="98" w:name="_Toc71465642_WPSOffice_Level2"/>
      <w:bookmarkStart w:id="99" w:name="_Toc24122"/>
      <w:bookmarkStart w:id="100" w:name="_Toc29396"/>
      <w:bookmarkStart w:id="101" w:name="_Toc31571"/>
      <w:bookmarkStart w:id="102" w:name="_Toc58870079"/>
      <w:bookmarkStart w:id="103" w:name="_Toc59000487"/>
      <w:bookmarkStart w:id="104" w:name="_Toc57041337"/>
    </w:p>
    <w:p w14:paraId="1D59F6F0">
      <w:pPr>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第二节 发展机遇</w:t>
      </w:r>
      <w:bookmarkEnd w:id="95"/>
      <w:bookmarkEnd w:id="96"/>
      <w:bookmarkEnd w:id="97"/>
      <w:bookmarkEnd w:id="98"/>
      <w:bookmarkEnd w:id="99"/>
    </w:p>
    <w:p w14:paraId="7B142216">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楷体"/>
          <w:sz w:val="32"/>
          <w:szCs w:val="32"/>
        </w:rPr>
      </w:pPr>
      <w:r>
        <w:rPr>
          <w:rFonts w:hint="eastAsia" w:ascii="仿宋" w:hAnsi="仿宋" w:eastAsia="仿宋" w:cs="仿宋"/>
          <w:b/>
          <w:bCs w:val="0"/>
          <w:sz w:val="32"/>
          <w:szCs w:val="32"/>
        </w:rPr>
        <w:t>新发展理念加快农牧业农村牧区现代化步伐。</w:t>
      </w:r>
      <w:r>
        <w:rPr>
          <w:rFonts w:hint="eastAsia" w:ascii="仿宋" w:hAnsi="仿宋" w:eastAsia="仿宋" w:cs="楷体"/>
          <w:sz w:val="32"/>
          <w:szCs w:val="32"/>
        </w:rPr>
        <w:t>全国农业农村工作</w:t>
      </w:r>
      <w:r>
        <w:rPr>
          <w:rFonts w:hint="eastAsia" w:ascii="仿宋" w:hAnsi="仿宋" w:eastAsia="仿宋" w:cs="楷体"/>
          <w:sz w:val="32"/>
          <w:szCs w:val="32"/>
          <w:lang w:eastAsia="zh-CN"/>
        </w:rPr>
        <w:t>已</w:t>
      </w:r>
      <w:r>
        <w:rPr>
          <w:rFonts w:hint="eastAsia" w:ascii="仿宋" w:hAnsi="仿宋" w:eastAsia="仿宋" w:cs="楷体"/>
          <w:sz w:val="32"/>
          <w:szCs w:val="32"/>
        </w:rPr>
        <w:t>全面转向乡村振兴，在发展导向上，从注重数量增长转向稳量提质，在发展路径上，从依靠资源投入转向创新驱动、绿色发展，创新、协调、绿色、开放、共享的新发展理念已成为国家农业农村工作的总引领，更是全盟“三农三牧”领域破难题、补短板的基本遵循。创新引领技术攻关，协调统筹城乡融合，绿色推动永续发展，开放强化区域协作，共享促进农牧民增收。坚定不移贯彻新发</w:t>
      </w:r>
      <w:bookmarkStart w:id="574" w:name="_GoBack"/>
      <w:bookmarkEnd w:id="574"/>
      <w:r>
        <w:rPr>
          <w:rFonts w:hint="eastAsia" w:ascii="仿宋" w:hAnsi="仿宋" w:eastAsia="仿宋" w:cs="楷体"/>
          <w:sz w:val="32"/>
          <w:szCs w:val="32"/>
        </w:rPr>
        <w:t>展理念，必将引领全盟农牧业供给侧结构性改革持续深化，产业发展结构持续优化，生产经营方式持续转变，推动我盟从农牧业大盟稳步向农牧业强盟转变，不断向着“产业兴旺、生态宜居、乡风文明、治理有效和生活富裕”全面振兴目标迈进。</w:t>
      </w:r>
    </w:p>
    <w:p w14:paraId="713C1174">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楷体"/>
          <w:sz w:val="32"/>
          <w:szCs w:val="32"/>
        </w:rPr>
      </w:pPr>
      <w:r>
        <w:rPr>
          <w:rFonts w:hint="eastAsia" w:ascii="仿宋" w:hAnsi="仿宋" w:eastAsia="仿宋" w:cs="仿宋"/>
          <w:b/>
          <w:bCs w:val="0"/>
          <w:sz w:val="32"/>
          <w:szCs w:val="32"/>
        </w:rPr>
        <w:t>新发展阶段营造农牧业农村牧区良好政策环境。</w:t>
      </w:r>
      <w:r>
        <w:rPr>
          <w:rFonts w:hint="eastAsia" w:ascii="仿宋" w:hAnsi="仿宋" w:eastAsia="仿宋" w:cstheme="minorBidi"/>
          <w:bCs/>
          <w:sz w:val="32"/>
          <w:szCs w:val="32"/>
        </w:rPr>
        <w:t>党的十九届五中全会提出，要</w:t>
      </w:r>
      <w:r>
        <w:rPr>
          <w:rFonts w:ascii="仿宋" w:hAnsi="仿宋" w:eastAsia="仿宋" w:cstheme="minorBidi"/>
          <w:bCs/>
          <w:sz w:val="32"/>
          <w:szCs w:val="32"/>
        </w:rPr>
        <w:t>优先发展农业农村，全面推进乡村振兴</w:t>
      </w:r>
      <w:r>
        <w:rPr>
          <w:rFonts w:hint="eastAsia" w:ascii="仿宋" w:hAnsi="仿宋" w:eastAsia="仿宋" w:cstheme="minorBidi"/>
          <w:bCs/>
          <w:sz w:val="32"/>
          <w:szCs w:val="32"/>
        </w:rPr>
        <w:t>，</w:t>
      </w:r>
      <w:r>
        <w:rPr>
          <w:rFonts w:ascii="仿宋" w:hAnsi="仿宋" w:eastAsia="仿宋" w:cstheme="minorBidi"/>
          <w:bCs/>
          <w:sz w:val="32"/>
          <w:szCs w:val="32"/>
        </w:rPr>
        <w:t>提高农业质量效益和竞争力，实施乡村建设行动，深化农村改革，实现巩固拓展脱贫攻坚成果同乡村振兴有效衔接。同时</w:t>
      </w:r>
      <w:r>
        <w:rPr>
          <w:rFonts w:hint="eastAsia" w:ascii="仿宋" w:hAnsi="仿宋" w:eastAsia="仿宋" w:cstheme="minorBidi"/>
          <w:bCs/>
          <w:sz w:val="32"/>
          <w:szCs w:val="32"/>
        </w:rPr>
        <w:t>强调，要坚持把解决好“三农”问题作为全党工作重中之重，把全面推进乡村振兴作为实现中华民族伟大复兴的一项重大任务，举全党全社会之力加快农业农村现代化</w:t>
      </w:r>
      <w:r>
        <w:rPr>
          <w:rFonts w:hint="eastAsia" w:ascii="仿宋" w:hAnsi="仿宋" w:eastAsia="仿宋" w:cstheme="minorBidi"/>
          <w:bCs/>
          <w:sz w:val="32"/>
          <w:szCs w:val="32"/>
          <w:lang w:eastAsia="zh-CN"/>
        </w:rPr>
        <w:t>进程</w:t>
      </w:r>
      <w:r>
        <w:rPr>
          <w:rFonts w:hint="eastAsia" w:ascii="仿宋" w:hAnsi="仿宋" w:eastAsia="仿宋" w:cstheme="minorBidi"/>
          <w:bCs/>
          <w:sz w:val="32"/>
          <w:szCs w:val="32"/>
        </w:rPr>
        <w:t>。</w:t>
      </w:r>
      <w:r>
        <w:rPr>
          <w:rFonts w:hint="eastAsia" w:ascii="仿宋" w:hAnsi="仿宋" w:eastAsia="仿宋" w:cstheme="minorBidi"/>
          <w:sz w:val="32"/>
          <w:szCs w:val="32"/>
        </w:rPr>
        <w:t>国家、</w:t>
      </w:r>
      <w:r>
        <w:rPr>
          <w:rFonts w:hint="eastAsia" w:ascii="仿宋" w:hAnsi="仿宋" w:eastAsia="仿宋" w:cstheme="minorBidi"/>
          <w:bCs/>
          <w:sz w:val="32"/>
          <w:szCs w:val="32"/>
        </w:rPr>
        <w:t>自治区相继在</w:t>
      </w:r>
      <w:r>
        <w:rPr>
          <w:rFonts w:hint="eastAsia" w:ascii="仿宋" w:hAnsi="仿宋" w:eastAsia="仿宋" w:cstheme="minorBidi"/>
          <w:bCs/>
          <w:sz w:val="32"/>
          <w:szCs w:val="32"/>
          <w:lang w:eastAsia="zh-CN"/>
        </w:rPr>
        <w:t>西部大开发、东北振兴、推动</w:t>
      </w:r>
      <w:r>
        <w:rPr>
          <w:rFonts w:hint="eastAsia" w:ascii="仿宋" w:hAnsi="仿宋" w:eastAsia="仿宋" w:cstheme="minorBidi"/>
          <w:bCs/>
          <w:sz w:val="32"/>
          <w:szCs w:val="32"/>
        </w:rPr>
        <w:t>农牧业高质量发展、巩固脱贫攻坚成果、</w:t>
      </w:r>
      <w:r>
        <w:rPr>
          <w:rFonts w:ascii="仿宋" w:hAnsi="仿宋" w:eastAsia="仿宋" w:cstheme="minorBidi"/>
          <w:bCs/>
          <w:sz w:val="32"/>
          <w:szCs w:val="32"/>
        </w:rPr>
        <w:t>加强基层治理体系和治理能力建设</w:t>
      </w:r>
      <w:r>
        <w:rPr>
          <w:rFonts w:hint="eastAsia" w:ascii="仿宋" w:hAnsi="仿宋" w:eastAsia="仿宋" w:cstheme="minorBidi"/>
          <w:bCs/>
          <w:sz w:val="32"/>
          <w:szCs w:val="32"/>
        </w:rPr>
        <w:t>等方面出台系列重大政策</w:t>
      </w:r>
      <w:r>
        <w:rPr>
          <w:rFonts w:hint="eastAsia" w:ascii="仿宋" w:hAnsi="仿宋" w:eastAsia="仿宋" w:cstheme="minorBidi"/>
          <w:bCs/>
          <w:sz w:val="32"/>
          <w:szCs w:val="32"/>
          <w:lang w:eastAsia="zh-CN"/>
        </w:rPr>
        <w:t>，更多资源要素向农村牧区集聚，多元投入格局加快形成。</w:t>
      </w:r>
      <w:r>
        <w:rPr>
          <w:rFonts w:hint="eastAsia" w:ascii="仿宋" w:hAnsi="仿宋" w:eastAsia="仿宋" w:cstheme="minorBidi"/>
          <w:bCs/>
          <w:sz w:val="32"/>
          <w:szCs w:val="32"/>
        </w:rPr>
        <w:t>这些都为全盟农牧业农村牧区</w:t>
      </w:r>
      <w:r>
        <w:rPr>
          <w:rFonts w:hint="eastAsia" w:ascii="仿宋" w:hAnsi="仿宋" w:eastAsia="仿宋" w:cstheme="minorBidi"/>
          <w:bCs/>
          <w:sz w:val="32"/>
          <w:szCs w:val="32"/>
          <w:lang w:eastAsia="zh-CN"/>
        </w:rPr>
        <w:t>现代化</w:t>
      </w:r>
      <w:r>
        <w:rPr>
          <w:rFonts w:hint="eastAsia" w:ascii="仿宋" w:hAnsi="仿宋" w:eastAsia="仿宋" w:cstheme="minorBidi"/>
          <w:bCs/>
          <w:sz w:val="32"/>
          <w:szCs w:val="32"/>
        </w:rPr>
        <w:t>发展</w:t>
      </w:r>
      <w:r>
        <w:rPr>
          <w:rFonts w:hint="eastAsia" w:ascii="仿宋" w:hAnsi="仿宋" w:eastAsia="仿宋" w:cstheme="minorBidi"/>
          <w:sz w:val="32"/>
          <w:szCs w:val="32"/>
        </w:rPr>
        <w:t>提供了重要机遇和政策</w:t>
      </w:r>
      <w:r>
        <w:rPr>
          <w:rFonts w:hint="eastAsia" w:ascii="仿宋" w:hAnsi="仿宋" w:eastAsia="仿宋" w:cstheme="minorBidi"/>
          <w:sz w:val="32"/>
          <w:szCs w:val="32"/>
          <w:lang w:eastAsia="zh-CN"/>
        </w:rPr>
        <w:t>支撑</w:t>
      </w:r>
      <w:r>
        <w:rPr>
          <w:rFonts w:hint="eastAsia" w:ascii="仿宋" w:hAnsi="仿宋" w:eastAsia="仿宋" w:cstheme="minorBidi"/>
          <w:sz w:val="32"/>
          <w:szCs w:val="32"/>
        </w:rPr>
        <w:t>。</w:t>
      </w:r>
    </w:p>
    <w:p w14:paraId="7A12980B">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theme="minorBidi"/>
          <w:sz w:val="32"/>
          <w:szCs w:val="32"/>
        </w:rPr>
      </w:pPr>
      <w:r>
        <w:rPr>
          <w:rFonts w:hint="eastAsia" w:ascii="仿宋" w:hAnsi="仿宋" w:eastAsia="仿宋" w:cs="仿宋"/>
          <w:b/>
          <w:bCs w:val="0"/>
          <w:sz w:val="32"/>
          <w:szCs w:val="32"/>
        </w:rPr>
        <w:t>新发展格局助推农牧业农村牧区高质量发展。</w:t>
      </w:r>
      <w:r>
        <w:rPr>
          <w:rFonts w:ascii="仿宋" w:hAnsi="仿宋" w:eastAsia="仿宋" w:cstheme="minorBidi"/>
          <w:sz w:val="32"/>
          <w:szCs w:val="32"/>
        </w:rPr>
        <w:t>国家</w:t>
      </w:r>
      <w:r>
        <w:rPr>
          <w:rFonts w:hint="eastAsia" w:ascii="仿宋" w:hAnsi="仿宋" w:eastAsia="仿宋" w:cstheme="minorBidi"/>
          <w:sz w:val="32"/>
          <w:szCs w:val="32"/>
          <w:lang w:eastAsia="zh-CN"/>
        </w:rPr>
        <w:t>深入</w:t>
      </w:r>
      <w:r>
        <w:rPr>
          <w:rFonts w:ascii="仿宋" w:hAnsi="仿宋" w:eastAsia="仿宋" w:cstheme="minorBidi"/>
          <w:sz w:val="32"/>
          <w:szCs w:val="32"/>
        </w:rPr>
        <w:t>推进以国内大循环为主体、国内国际双循环相互促进的新发展格局，优质绿色农畜产品消费需求持续增长，有力提升了生态绿色农牧业发展</w:t>
      </w:r>
      <w:r>
        <w:rPr>
          <w:rFonts w:hint="eastAsia" w:ascii="仿宋" w:hAnsi="仿宋" w:eastAsia="仿宋" w:cstheme="minorBidi"/>
          <w:sz w:val="32"/>
          <w:szCs w:val="32"/>
        </w:rPr>
        <w:t>动能。</w:t>
      </w:r>
      <w:r>
        <w:rPr>
          <w:rFonts w:hint="eastAsia" w:ascii="仿宋" w:hAnsi="仿宋" w:eastAsia="仿宋" w:cstheme="minorBidi"/>
          <w:sz w:val="32"/>
          <w:szCs w:val="32"/>
          <w:lang w:eastAsia="zh-CN"/>
        </w:rPr>
        <w:t>我盟</w:t>
      </w:r>
      <w:r>
        <w:rPr>
          <w:rFonts w:hint="eastAsia" w:ascii="仿宋" w:hAnsi="仿宋" w:eastAsia="仿宋" w:cstheme="minorBidi"/>
          <w:sz w:val="32"/>
          <w:szCs w:val="32"/>
        </w:rPr>
        <w:t>生态畜牧业发展优势明显，主要畜产品产量和质量位居全区前列，农畜产品品牌优势不断增强，是全区建设国家绿色农畜产品生产基地的重要依托，在国内牛羊肉</w:t>
      </w:r>
      <w:r>
        <w:rPr>
          <w:rFonts w:hint="eastAsia" w:ascii="仿宋" w:hAnsi="仿宋" w:eastAsia="仿宋" w:cstheme="minorBidi"/>
          <w:sz w:val="32"/>
          <w:szCs w:val="32"/>
          <w:lang w:eastAsia="zh-CN"/>
        </w:rPr>
        <w:t>供给</w:t>
      </w:r>
      <w:r>
        <w:rPr>
          <w:rFonts w:hint="eastAsia" w:ascii="仿宋" w:hAnsi="仿宋" w:eastAsia="仿宋" w:cstheme="minorBidi"/>
          <w:sz w:val="32"/>
          <w:szCs w:val="32"/>
        </w:rPr>
        <w:t>大循环中占有重要地位。同时，党的农村工作条例深入落实，</w:t>
      </w:r>
      <w:r>
        <w:rPr>
          <w:rFonts w:hint="eastAsia" w:ascii="仿宋" w:hAnsi="仿宋" w:eastAsia="仿宋" w:cs="仿宋"/>
          <w:sz w:val="32"/>
          <w:szCs w:val="32"/>
        </w:rPr>
        <w:t>乡村振兴</w:t>
      </w:r>
      <w:r>
        <w:rPr>
          <w:rFonts w:hint="eastAsia" w:ascii="仿宋" w:hAnsi="仿宋" w:eastAsia="仿宋" w:cs="仿宋"/>
          <w:sz w:val="32"/>
          <w:szCs w:val="32"/>
          <w:lang w:eastAsia="zh-CN"/>
        </w:rPr>
        <w:t>战略</w:t>
      </w:r>
      <w:r>
        <w:rPr>
          <w:rFonts w:hint="eastAsia" w:ascii="仿宋" w:hAnsi="仿宋" w:eastAsia="仿宋" w:cs="仿宋"/>
          <w:sz w:val="32"/>
          <w:szCs w:val="32"/>
        </w:rPr>
        <w:t>规划和产业、人才、文化、生态、组织五大振兴方案部署深入推进，乡村振兴制度框架和政策体系基本形成。</w:t>
      </w:r>
      <w:r>
        <w:rPr>
          <w:rFonts w:hint="eastAsia" w:ascii="仿宋" w:hAnsi="仿宋" w:eastAsia="仿宋" w:cstheme="minorBidi"/>
          <w:sz w:val="32"/>
          <w:szCs w:val="32"/>
        </w:rPr>
        <w:t>这些都为</w:t>
      </w:r>
      <w:r>
        <w:rPr>
          <w:rFonts w:hint="eastAsia" w:ascii="仿宋" w:hAnsi="仿宋" w:eastAsia="仿宋" w:cstheme="minorBidi"/>
          <w:sz w:val="32"/>
          <w:szCs w:val="32"/>
          <w:lang w:eastAsia="zh-CN"/>
        </w:rPr>
        <w:t>我盟将农牧业资源、生态等比较优势转化发展优势，为</w:t>
      </w:r>
      <w:r>
        <w:rPr>
          <w:rFonts w:hint="eastAsia" w:ascii="仿宋" w:hAnsi="仿宋" w:eastAsia="仿宋" w:cstheme="minorBidi"/>
          <w:sz w:val="32"/>
          <w:szCs w:val="32"/>
        </w:rPr>
        <w:t>农牧业农村牧区在</w:t>
      </w:r>
      <w:r>
        <w:rPr>
          <w:rFonts w:hint="eastAsia" w:ascii="仿宋" w:hAnsi="仿宋" w:eastAsia="仿宋" w:cstheme="minorBidi"/>
          <w:sz w:val="32"/>
          <w:szCs w:val="32"/>
          <w:lang w:eastAsia="zh-CN"/>
        </w:rPr>
        <w:t>新</w:t>
      </w:r>
      <w:r>
        <w:rPr>
          <w:rFonts w:hint="eastAsia" w:ascii="仿宋" w:hAnsi="仿宋" w:eastAsia="仿宋" w:cstheme="minorBidi"/>
          <w:sz w:val="32"/>
          <w:szCs w:val="32"/>
        </w:rPr>
        <w:t>格局下实现高质量发展提供了坚强保障。</w:t>
      </w:r>
    </w:p>
    <w:p w14:paraId="275A4D4C">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2"/>
        </w:rPr>
      </w:pPr>
      <w:bookmarkStart w:id="105" w:name="_Toc15748"/>
      <w:bookmarkStart w:id="106" w:name="_Toc28873"/>
      <w:bookmarkStart w:id="107" w:name="_Toc29517728_WPSOffice_Level2"/>
      <w:bookmarkStart w:id="108" w:name="_Toc24012"/>
      <w:bookmarkStart w:id="109" w:name="_Toc11180"/>
      <w:r>
        <w:rPr>
          <w:rFonts w:hint="eastAsia" w:ascii="Calibri Light" w:hAnsi="Calibri Light" w:cs="Times New Roman"/>
          <w:b w:val="0"/>
          <w:bCs w:val="0"/>
          <w:sz w:val="32"/>
          <w:szCs w:val="32"/>
        </w:rPr>
        <w:t xml:space="preserve">第三节 </w:t>
      </w:r>
      <w:bookmarkEnd w:id="100"/>
      <w:bookmarkEnd w:id="101"/>
      <w:r>
        <w:rPr>
          <w:rFonts w:hint="eastAsia" w:ascii="Calibri Light" w:hAnsi="Calibri Light" w:cs="Times New Roman"/>
          <w:b w:val="0"/>
          <w:bCs w:val="0"/>
          <w:sz w:val="32"/>
          <w:szCs w:val="32"/>
        </w:rPr>
        <w:t>面临挑战</w:t>
      </w:r>
      <w:bookmarkEnd w:id="102"/>
      <w:bookmarkEnd w:id="103"/>
      <w:bookmarkEnd w:id="104"/>
      <w:bookmarkEnd w:id="105"/>
      <w:bookmarkEnd w:id="106"/>
      <w:bookmarkEnd w:id="107"/>
      <w:bookmarkEnd w:id="108"/>
      <w:bookmarkEnd w:id="109"/>
    </w:p>
    <w:p w14:paraId="6A22AFE0">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val="0"/>
          <w:sz w:val="32"/>
          <w:szCs w:val="32"/>
        </w:rPr>
        <w:t>资源与生态环境约束日益趋紧。</w:t>
      </w:r>
      <w:r>
        <w:rPr>
          <w:rFonts w:ascii="仿宋" w:hAnsi="仿宋" w:eastAsia="仿宋"/>
          <w:sz w:val="32"/>
          <w:szCs w:val="32"/>
        </w:rPr>
        <w:t>通过持续实施草原生态补奖</w:t>
      </w:r>
      <w:r>
        <w:rPr>
          <w:rFonts w:hint="eastAsia" w:ascii="仿宋" w:hAnsi="仿宋" w:eastAsia="仿宋"/>
          <w:sz w:val="32"/>
          <w:szCs w:val="32"/>
        </w:rPr>
        <w:t>政策</w:t>
      </w:r>
      <w:r>
        <w:rPr>
          <w:rFonts w:ascii="仿宋" w:hAnsi="仿宋" w:eastAsia="仿宋"/>
          <w:sz w:val="32"/>
          <w:szCs w:val="32"/>
        </w:rPr>
        <w:t>、京津风沙源治理、退化草原修复、矿山治理等系统性</w:t>
      </w:r>
      <w:r>
        <w:rPr>
          <w:rFonts w:hint="eastAsia" w:ascii="仿宋" w:hAnsi="仿宋" w:eastAsia="仿宋"/>
          <w:sz w:val="32"/>
          <w:szCs w:val="32"/>
          <w:lang w:eastAsia="zh-CN"/>
        </w:rPr>
        <w:t>生态</w:t>
      </w:r>
      <w:r>
        <w:rPr>
          <w:rFonts w:ascii="仿宋" w:hAnsi="仿宋" w:eastAsia="仿宋"/>
          <w:sz w:val="32"/>
          <w:szCs w:val="32"/>
        </w:rPr>
        <w:t>保护工程，</w:t>
      </w:r>
      <w:r>
        <w:rPr>
          <w:rFonts w:hint="eastAsia" w:ascii="仿宋" w:hAnsi="仿宋" w:eastAsia="仿宋"/>
          <w:sz w:val="32"/>
          <w:szCs w:val="32"/>
        </w:rPr>
        <w:t>全</w:t>
      </w:r>
      <w:r>
        <w:rPr>
          <w:rFonts w:ascii="仿宋" w:hAnsi="仿宋" w:eastAsia="仿宋"/>
          <w:sz w:val="32"/>
          <w:szCs w:val="32"/>
        </w:rPr>
        <w:t>盟草原生态环境明显改善，但总体上草原生态保护形势依然严峻，草原生态系统依然脆弱，局部超载过牧现象不同程度存在，退化、沙化趋势尚未得到全面扭转，草原</w:t>
      </w:r>
      <w:r>
        <w:rPr>
          <w:rFonts w:hint="eastAsia" w:ascii="仿宋" w:hAnsi="仿宋" w:eastAsia="仿宋"/>
          <w:sz w:val="32"/>
          <w:szCs w:val="32"/>
          <w:lang w:eastAsia="zh-CN"/>
        </w:rPr>
        <w:t>综合</w:t>
      </w:r>
      <w:r>
        <w:rPr>
          <w:rFonts w:ascii="仿宋" w:hAnsi="仿宋" w:eastAsia="仿宋"/>
          <w:sz w:val="32"/>
          <w:szCs w:val="32"/>
        </w:rPr>
        <w:t>植被盖度仍需进一步提升</w:t>
      </w:r>
      <w:r>
        <w:rPr>
          <w:rFonts w:hint="eastAsia" w:ascii="仿宋" w:hAnsi="仿宋" w:eastAsia="仿宋"/>
          <w:sz w:val="32"/>
          <w:szCs w:val="32"/>
        </w:rPr>
        <w:t>。全盟水资源量匮乏，可利用水资源较少</w:t>
      </w:r>
      <w:r>
        <w:rPr>
          <w:rFonts w:hint="eastAsia" w:ascii="仿宋" w:hAnsi="仿宋" w:eastAsia="仿宋" w:cs="仿宋"/>
          <w:sz w:val="32"/>
          <w:szCs w:val="32"/>
        </w:rPr>
        <w:t>，地均水资源量低于全国和全区平均水平，土地面积占全区17%</w:t>
      </w:r>
      <w:r>
        <w:rPr>
          <w:rFonts w:hint="eastAsia" w:ascii="仿宋" w:hAnsi="仿宋" w:eastAsia="仿宋" w:cs="仿宋"/>
          <w:sz w:val="32"/>
          <w:szCs w:val="32"/>
          <w:lang w:eastAsia="zh-CN"/>
        </w:rPr>
        <w:t>，</w:t>
      </w:r>
      <w:r>
        <w:rPr>
          <w:rFonts w:hint="eastAsia" w:ascii="仿宋" w:hAnsi="仿宋" w:eastAsia="仿宋" w:cs="仿宋"/>
          <w:sz w:val="32"/>
          <w:szCs w:val="32"/>
        </w:rPr>
        <w:t>但水资源量仅为全区水资源总量的6%，农牧</w:t>
      </w:r>
      <w:r>
        <w:rPr>
          <w:rFonts w:hint="eastAsia" w:ascii="仿宋" w:hAnsi="仿宋" w:eastAsia="仿宋" w:cs="仿宋"/>
          <w:sz w:val="32"/>
          <w:szCs w:val="32"/>
          <w:lang w:eastAsia="zh-CN"/>
        </w:rPr>
        <w:t>领域</w:t>
      </w:r>
      <w:r>
        <w:rPr>
          <w:rFonts w:hint="eastAsia" w:ascii="仿宋" w:hAnsi="仿宋" w:eastAsia="仿宋" w:cs="仿宋"/>
          <w:sz w:val="32"/>
          <w:szCs w:val="32"/>
        </w:rPr>
        <w:t>生产生活用水主要为地下水，水资源供需矛盾突出。</w:t>
      </w:r>
    </w:p>
    <w:p w14:paraId="0D96560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val="0"/>
          <w:sz w:val="32"/>
          <w:szCs w:val="32"/>
        </w:rPr>
        <w:t>农牧业发展质量</w:t>
      </w:r>
      <w:r>
        <w:rPr>
          <w:rFonts w:hint="eastAsia" w:ascii="仿宋" w:hAnsi="仿宋" w:eastAsia="仿宋" w:cs="仿宋"/>
          <w:b/>
          <w:bCs w:val="0"/>
          <w:sz w:val="32"/>
          <w:szCs w:val="32"/>
          <w:lang w:eastAsia="zh-CN"/>
        </w:rPr>
        <w:t>效益</w:t>
      </w:r>
      <w:r>
        <w:rPr>
          <w:rFonts w:hint="eastAsia" w:ascii="仿宋" w:hAnsi="仿宋" w:eastAsia="仿宋" w:cs="仿宋"/>
          <w:b/>
          <w:bCs w:val="0"/>
          <w:sz w:val="32"/>
          <w:szCs w:val="32"/>
        </w:rPr>
        <w:t>和竞争力亟待提升。</w:t>
      </w:r>
      <w:r>
        <w:rPr>
          <w:rFonts w:hint="eastAsia" w:ascii="仿宋" w:hAnsi="仿宋" w:eastAsia="仿宋" w:cs="仿宋"/>
          <w:sz w:val="32"/>
          <w:szCs w:val="32"/>
        </w:rPr>
        <w:t>农牧业</w:t>
      </w:r>
      <w:r>
        <w:rPr>
          <w:rFonts w:hint="eastAsia" w:ascii="仿宋" w:hAnsi="仿宋" w:eastAsia="仿宋" w:cs="仿宋"/>
          <w:sz w:val="32"/>
          <w:szCs w:val="32"/>
          <w:lang w:eastAsia="zh-CN"/>
        </w:rPr>
        <w:t>总体</w:t>
      </w:r>
      <w:r>
        <w:rPr>
          <w:rFonts w:hint="eastAsia" w:ascii="仿宋" w:hAnsi="仿宋" w:eastAsia="仿宋" w:cs="仿宋"/>
          <w:sz w:val="32"/>
          <w:szCs w:val="32"/>
        </w:rPr>
        <w:t>生产经营方式与现代产业发展要求还不相适应，农牧业生产标准化、规模化、组织化程度相对较低，产业结构有待</w:t>
      </w:r>
      <w:r>
        <w:rPr>
          <w:rFonts w:hint="eastAsia" w:ascii="仿宋" w:hAnsi="仿宋" w:eastAsia="仿宋" w:cs="仿宋"/>
          <w:sz w:val="32"/>
          <w:szCs w:val="32"/>
          <w:lang w:eastAsia="zh-CN"/>
        </w:rPr>
        <w:t>进一步</w:t>
      </w:r>
      <w:r>
        <w:rPr>
          <w:rFonts w:hint="eastAsia" w:ascii="仿宋" w:hAnsi="仿宋" w:eastAsia="仿宋" w:cs="仿宋"/>
          <w:sz w:val="32"/>
          <w:szCs w:val="32"/>
        </w:rPr>
        <w:t>优化，产业链条有待</w:t>
      </w:r>
      <w:r>
        <w:rPr>
          <w:rFonts w:hint="eastAsia" w:ascii="仿宋" w:hAnsi="仿宋" w:eastAsia="仿宋" w:cs="仿宋"/>
          <w:sz w:val="32"/>
          <w:szCs w:val="32"/>
          <w:lang w:eastAsia="zh-CN"/>
        </w:rPr>
        <w:t>拓展</w:t>
      </w:r>
      <w:r>
        <w:rPr>
          <w:rFonts w:hint="eastAsia" w:ascii="仿宋" w:hAnsi="仿宋" w:eastAsia="仿宋" w:cs="仿宋"/>
          <w:sz w:val="32"/>
          <w:szCs w:val="32"/>
        </w:rPr>
        <w:t>延伸，特色产业发展不突出。主要表现在：一是畜牧业生产精细化程度较低，饲养管理规范化水平不高，牲畜繁成率和个体生产能力有待进一步提升。二是优质农畜产品有效供给与消费需求衔接还不相适应，初级加工产品多，精深加工产品少，产业链条短，加工增值率低，效益实现不充分，市场竞争力较弱。三是实力较强的龙头企业不多，带动能力不强，一二三产利益联结机制不够健全，融合</w:t>
      </w:r>
      <w:r>
        <w:rPr>
          <w:rFonts w:hint="eastAsia" w:ascii="仿宋" w:hAnsi="仿宋" w:eastAsia="仿宋" w:cs="仿宋"/>
          <w:sz w:val="32"/>
          <w:szCs w:val="32"/>
          <w:lang w:eastAsia="zh-CN"/>
        </w:rPr>
        <w:t>发展水平</w:t>
      </w:r>
      <w:r>
        <w:rPr>
          <w:rFonts w:hint="eastAsia" w:ascii="仿宋" w:hAnsi="仿宋" w:eastAsia="仿宋" w:cs="仿宋"/>
          <w:sz w:val="32"/>
          <w:szCs w:val="32"/>
        </w:rPr>
        <w:t>仍需进一步</w:t>
      </w:r>
      <w:r>
        <w:rPr>
          <w:rFonts w:hint="eastAsia" w:ascii="仿宋" w:hAnsi="仿宋" w:eastAsia="仿宋" w:cs="仿宋"/>
          <w:sz w:val="32"/>
          <w:szCs w:val="32"/>
          <w:lang w:eastAsia="zh-CN"/>
        </w:rPr>
        <w:t>提升</w:t>
      </w:r>
      <w:r>
        <w:rPr>
          <w:rFonts w:hint="eastAsia" w:ascii="仿宋" w:hAnsi="仿宋" w:eastAsia="仿宋" w:cs="仿宋"/>
          <w:sz w:val="32"/>
          <w:szCs w:val="32"/>
        </w:rPr>
        <w:t>。四是部分地区农畜产品生产、加工、流通、质检等关键环节缺乏严格的标准化管理，市场准入监管体系和农畜产品质量安全控制体系有待进一步健全。</w:t>
      </w:r>
    </w:p>
    <w:p w14:paraId="54DB236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
          <w:sz w:val="32"/>
          <w:szCs w:val="32"/>
          <w:lang w:eastAsia="zh-CN"/>
        </w:rPr>
      </w:pPr>
      <w:r>
        <w:rPr>
          <w:rFonts w:hint="eastAsia" w:ascii="仿宋" w:hAnsi="仿宋" w:eastAsia="仿宋" w:cs="仿宋"/>
          <w:b/>
          <w:bCs w:val="0"/>
          <w:sz w:val="32"/>
          <w:szCs w:val="32"/>
        </w:rPr>
        <w:t>农村牧区基础设施</w:t>
      </w:r>
      <w:r>
        <w:rPr>
          <w:rFonts w:hint="eastAsia" w:ascii="仿宋" w:hAnsi="仿宋" w:eastAsia="仿宋" w:cs="仿宋"/>
          <w:b/>
          <w:bCs w:val="0"/>
          <w:sz w:val="32"/>
          <w:szCs w:val="32"/>
          <w:lang w:eastAsia="zh-CN"/>
        </w:rPr>
        <w:t>建设</w:t>
      </w:r>
      <w:r>
        <w:rPr>
          <w:rFonts w:hint="eastAsia" w:ascii="仿宋" w:hAnsi="仿宋" w:eastAsia="仿宋" w:cs="仿宋"/>
          <w:b/>
          <w:bCs w:val="0"/>
          <w:sz w:val="32"/>
          <w:szCs w:val="32"/>
        </w:rPr>
        <w:t>和公共服务</w:t>
      </w:r>
      <w:r>
        <w:rPr>
          <w:rFonts w:hint="eastAsia" w:ascii="仿宋" w:hAnsi="仿宋" w:eastAsia="仿宋" w:cs="仿宋"/>
          <w:b/>
          <w:bCs w:val="0"/>
          <w:sz w:val="32"/>
          <w:szCs w:val="32"/>
          <w:lang w:eastAsia="zh-CN"/>
        </w:rPr>
        <w:t>能力</w:t>
      </w:r>
      <w:r>
        <w:rPr>
          <w:rFonts w:hint="eastAsia" w:ascii="仿宋" w:hAnsi="仿宋" w:eastAsia="仿宋" w:cs="仿宋"/>
          <w:b/>
          <w:bCs w:val="0"/>
          <w:sz w:val="32"/>
          <w:szCs w:val="32"/>
        </w:rPr>
        <w:t>相对滞后。</w:t>
      </w:r>
      <w:r>
        <w:rPr>
          <w:rFonts w:hint="eastAsia" w:ascii="仿宋" w:hAnsi="仿宋" w:eastAsia="仿宋" w:cs="仿宋"/>
          <w:sz w:val="32"/>
          <w:szCs w:val="32"/>
        </w:rPr>
        <w:t>农牧业生产</w:t>
      </w:r>
      <w:r>
        <w:rPr>
          <w:rFonts w:hint="eastAsia" w:ascii="仿宋" w:hAnsi="仿宋" w:eastAsia="仿宋" w:cs="仿宋"/>
          <w:sz w:val="32"/>
          <w:szCs w:val="32"/>
          <w:lang w:eastAsia="zh-CN"/>
        </w:rPr>
        <w:t>设施条件还不够完善</w:t>
      </w:r>
      <w:r>
        <w:rPr>
          <w:rFonts w:hint="eastAsia" w:ascii="仿宋" w:hAnsi="仿宋" w:eastAsia="仿宋" w:cs="仿宋"/>
          <w:sz w:val="32"/>
          <w:szCs w:val="32"/>
        </w:rPr>
        <w:t>，</w:t>
      </w:r>
      <w:r>
        <w:rPr>
          <w:rFonts w:hint="eastAsia" w:ascii="仿宋" w:hAnsi="仿宋" w:eastAsia="仿宋" w:cs="仿宋"/>
          <w:sz w:val="32"/>
          <w:szCs w:val="32"/>
          <w:lang w:eastAsia="zh-CN"/>
        </w:rPr>
        <w:t>科技</w:t>
      </w:r>
      <w:r>
        <w:rPr>
          <w:rFonts w:hint="eastAsia" w:ascii="仿宋" w:hAnsi="仿宋" w:eastAsia="仿宋" w:cs="仿宋"/>
          <w:sz w:val="32"/>
          <w:szCs w:val="32"/>
        </w:rPr>
        <w:t>装备水平相对落后，靠天种养的局面</w:t>
      </w:r>
      <w:r>
        <w:rPr>
          <w:rFonts w:hint="eastAsia" w:ascii="仿宋" w:hAnsi="仿宋" w:eastAsia="仿宋" w:cs="仿宋"/>
          <w:sz w:val="32"/>
          <w:szCs w:val="32"/>
          <w:lang w:eastAsia="zh-CN"/>
        </w:rPr>
        <w:t>尚未</w:t>
      </w:r>
      <w:r>
        <w:rPr>
          <w:rFonts w:hint="eastAsia" w:ascii="仿宋" w:hAnsi="仿宋" w:eastAsia="仿宋" w:cs="仿宋"/>
          <w:sz w:val="32"/>
          <w:szCs w:val="32"/>
        </w:rPr>
        <w:t>得到根本</w:t>
      </w:r>
      <w:r>
        <w:rPr>
          <w:rFonts w:hint="eastAsia" w:ascii="仿宋" w:hAnsi="仿宋" w:eastAsia="仿宋" w:cs="仿宋"/>
          <w:sz w:val="32"/>
          <w:szCs w:val="32"/>
          <w:lang w:eastAsia="zh-CN"/>
        </w:rPr>
        <w:t>性</w:t>
      </w:r>
      <w:r>
        <w:rPr>
          <w:rFonts w:hint="eastAsia" w:ascii="仿宋" w:hAnsi="仿宋" w:eastAsia="仿宋" w:cs="仿宋"/>
          <w:sz w:val="32"/>
          <w:szCs w:val="32"/>
        </w:rPr>
        <w:t>转变。农村牧区供水、供电、道路、</w:t>
      </w:r>
      <w:r>
        <w:rPr>
          <w:rFonts w:hint="eastAsia" w:ascii="仿宋" w:hAnsi="仿宋" w:eastAsia="仿宋" w:cs="仿宋"/>
          <w:sz w:val="32"/>
          <w:szCs w:val="32"/>
          <w:lang w:eastAsia="zh-CN"/>
        </w:rPr>
        <w:t>通讯</w:t>
      </w:r>
      <w:r>
        <w:rPr>
          <w:rFonts w:hint="eastAsia" w:ascii="仿宋" w:hAnsi="仿宋" w:eastAsia="仿宋" w:cs="仿宋"/>
          <w:sz w:val="32"/>
          <w:szCs w:val="32"/>
        </w:rPr>
        <w:t>等</w:t>
      </w:r>
      <w:r>
        <w:rPr>
          <w:rFonts w:hint="eastAsia" w:ascii="仿宋" w:hAnsi="仿宋" w:eastAsia="仿宋" w:cs="仿宋"/>
          <w:sz w:val="32"/>
          <w:szCs w:val="32"/>
          <w:lang w:eastAsia="zh-CN"/>
        </w:rPr>
        <w:t>公共基础设施建设</w:t>
      </w:r>
      <w:r>
        <w:rPr>
          <w:rFonts w:hint="eastAsia" w:ascii="仿宋" w:hAnsi="仿宋" w:eastAsia="仿宋" w:cs="仿宋"/>
          <w:sz w:val="32"/>
          <w:szCs w:val="32"/>
        </w:rPr>
        <w:t>仍</w:t>
      </w:r>
      <w:r>
        <w:rPr>
          <w:rFonts w:hint="eastAsia" w:ascii="仿宋" w:hAnsi="仿宋" w:eastAsia="仿宋" w:cs="仿宋"/>
          <w:sz w:val="32"/>
          <w:szCs w:val="32"/>
          <w:lang w:eastAsia="zh-CN"/>
        </w:rPr>
        <w:t>需加强，</w:t>
      </w:r>
      <w:r>
        <w:rPr>
          <w:rFonts w:hint="eastAsia" w:ascii="仿宋" w:hAnsi="仿宋" w:eastAsia="仿宋" w:cs="仿宋"/>
          <w:sz w:val="32"/>
          <w:szCs w:val="32"/>
        </w:rPr>
        <w:t>教育、医疗</w:t>
      </w:r>
      <w:r>
        <w:rPr>
          <w:rFonts w:hint="eastAsia" w:ascii="仿宋" w:hAnsi="仿宋" w:eastAsia="仿宋"/>
          <w:sz w:val="32"/>
          <w:szCs w:val="32"/>
        </w:rPr>
        <w:t>、</w:t>
      </w:r>
      <w:r>
        <w:rPr>
          <w:rFonts w:hint="eastAsia" w:ascii="仿宋" w:hAnsi="仿宋" w:eastAsia="仿宋"/>
          <w:sz w:val="32"/>
          <w:szCs w:val="32"/>
          <w:lang w:eastAsia="zh-CN"/>
        </w:rPr>
        <w:t>就业、文化、</w:t>
      </w:r>
      <w:r>
        <w:rPr>
          <w:rFonts w:hint="eastAsia" w:ascii="仿宋" w:hAnsi="仿宋" w:eastAsia="仿宋"/>
          <w:sz w:val="32"/>
          <w:szCs w:val="32"/>
        </w:rPr>
        <w:t>社保等</w:t>
      </w:r>
      <w:r>
        <w:rPr>
          <w:rFonts w:ascii="仿宋" w:hAnsi="仿宋" w:eastAsia="仿宋"/>
          <w:sz w:val="32"/>
          <w:szCs w:val="32"/>
        </w:rPr>
        <w:t>公共服务</w:t>
      </w:r>
      <w:r>
        <w:rPr>
          <w:rFonts w:hint="eastAsia" w:ascii="仿宋" w:hAnsi="仿宋" w:eastAsia="仿宋"/>
          <w:sz w:val="32"/>
          <w:szCs w:val="32"/>
        </w:rPr>
        <w:t>供给</w:t>
      </w:r>
      <w:r>
        <w:rPr>
          <w:rFonts w:hint="eastAsia" w:ascii="仿宋" w:hAnsi="仿宋" w:eastAsia="仿宋"/>
          <w:sz w:val="32"/>
          <w:szCs w:val="32"/>
          <w:lang w:eastAsia="zh-CN"/>
        </w:rPr>
        <w:t>仍然不足。人</w:t>
      </w:r>
      <w:r>
        <w:rPr>
          <w:rFonts w:ascii="仿宋" w:hAnsi="仿宋" w:eastAsia="仿宋"/>
          <w:sz w:val="32"/>
          <w:szCs w:val="32"/>
        </w:rPr>
        <w:t>居环境整治</w:t>
      </w:r>
      <w:r>
        <w:rPr>
          <w:rFonts w:hint="eastAsia" w:ascii="仿宋" w:hAnsi="仿宋" w:eastAsia="仿宋"/>
          <w:sz w:val="32"/>
          <w:szCs w:val="32"/>
          <w:lang w:eastAsia="zh-CN"/>
        </w:rPr>
        <w:t>仍需加大力度</w:t>
      </w:r>
      <w:r>
        <w:rPr>
          <w:rFonts w:ascii="仿宋" w:hAnsi="仿宋" w:eastAsia="仿宋"/>
          <w:sz w:val="32"/>
          <w:szCs w:val="32"/>
        </w:rPr>
        <w:t>，</w:t>
      </w:r>
      <w:r>
        <w:rPr>
          <w:rFonts w:hint="eastAsia" w:ascii="仿宋" w:hAnsi="仿宋" w:eastAsia="仿宋"/>
          <w:sz w:val="32"/>
          <w:szCs w:val="32"/>
        </w:rPr>
        <w:t>长效管护机制有待</w:t>
      </w:r>
      <w:r>
        <w:rPr>
          <w:rFonts w:hint="eastAsia" w:ascii="仿宋" w:hAnsi="仿宋" w:eastAsia="仿宋"/>
          <w:sz w:val="32"/>
          <w:szCs w:val="32"/>
          <w:lang w:eastAsia="zh-CN"/>
        </w:rPr>
        <w:t>健全</w:t>
      </w:r>
      <w:r>
        <w:rPr>
          <w:rFonts w:ascii="仿宋" w:hAnsi="仿宋" w:eastAsia="仿宋"/>
          <w:sz w:val="32"/>
          <w:szCs w:val="32"/>
        </w:rPr>
        <w:t>。</w:t>
      </w:r>
      <w:bookmarkStart w:id="110" w:name="_Toc59000477"/>
      <w:bookmarkStart w:id="111" w:name="_Toc58870069"/>
      <w:r>
        <w:rPr>
          <w:rFonts w:hint="eastAsia" w:ascii="仿宋" w:hAnsi="仿宋" w:eastAsia="仿宋"/>
          <w:sz w:val="32"/>
          <w:szCs w:val="32"/>
          <w:lang w:eastAsia="zh-CN"/>
        </w:rPr>
        <w:t>农村牧区发展人才缺乏，农牧业兼业化、农村牧区空心化、农牧民老龄化问题突出。</w:t>
      </w:r>
    </w:p>
    <w:bookmarkEnd w:id="110"/>
    <w:bookmarkEnd w:id="111"/>
    <w:p w14:paraId="37228DB5">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heme="minorBidi"/>
          <w:sz w:val="32"/>
          <w:szCs w:val="32"/>
        </w:rPr>
      </w:pPr>
      <w:r>
        <w:rPr>
          <w:rFonts w:hint="eastAsia" w:ascii="仿宋" w:hAnsi="仿宋" w:eastAsia="仿宋" w:cstheme="minorBidi"/>
          <w:sz w:val="32"/>
          <w:szCs w:val="32"/>
        </w:rPr>
        <w:t>总的来看，“十四五”时期是</w:t>
      </w:r>
      <w:r>
        <w:rPr>
          <w:rFonts w:hint="eastAsia" w:ascii="仿宋" w:hAnsi="仿宋" w:eastAsia="仿宋" w:cstheme="minorBidi"/>
          <w:sz w:val="32"/>
          <w:szCs w:val="32"/>
          <w:lang w:eastAsia="zh-CN"/>
        </w:rPr>
        <w:t>加快</w:t>
      </w:r>
      <w:r>
        <w:rPr>
          <w:rFonts w:hint="eastAsia" w:ascii="仿宋" w:hAnsi="仿宋" w:eastAsia="仿宋" w:cstheme="minorBidi"/>
          <w:sz w:val="32"/>
          <w:szCs w:val="32"/>
        </w:rPr>
        <w:t>推进农牧业农村牧区现代化</w:t>
      </w:r>
      <w:r>
        <w:rPr>
          <w:rFonts w:hint="eastAsia" w:ascii="仿宋" w:hAnsi="仿宋" w:eastAsia="仿宋" w:cstheme="minorBidi"/>
          <w:sz w:val="32"/>
          <w:szCs w:val="32"/>
          <w:lang w:eastAsia="zh-CN"/>
        </w:rPr>
        <w:t>发展</w:t>
      </w:r>
      <w:r>
        <w:rPr>
          <w:rFonts w:hint="eastAsia" w:ascii="仿宋" w:hAnsi="仿宋" w:eastAsia="仿宋" w:cstheme="minorBidi"/>
          <w:sz w:val="32"/>
          <w:szCs w:val="32"/>
        </w:rPr>
        <w:t>的</w:t>
      </w:r>
      <w:r>
        <w:rPr>
          <w:rFonts w:hint="eastAsia" w:ascii="仿宋" w:hAnsi="仿宋" w:eastAsia="仿宋" w:cstheme="minorBidi"/>
          <w:sz w:val="32"/>
          <w:szCs w:val="32"/>
          <w:lang w:eastAsia="zh-CN"/>
        </w:rPr>
        <w:t>重要</w:t>
      </w:r>
      <w:r>
        <w:rPr>
          <w:rFonts w:hint="eastAsia" w:ascii="仿宋" w:hAnsi="仿宋" w:eastAsia="仿宋" w:cstheme="minorBidi"/>
          <w:sz w:val="32"/>
          <w:szCs w:val="32"/>
        </w:rPr>
        <w:t>战略机遇期，必须坚定不移走生态优先、绿色发展为导向的高质量发展新路子，</w:t>
      </w:r>
      <w:r>
        <w:rPr>
          <w:rFonts w:hint="eastAsia" w:ascii="仿宋" w:hAnsi="仿宋" w:eastAsia="仿宋" w:cstheme="minorBidi"/>
          <w:sz w:val="32"/>
          <w:szCs w:val="32"/>
          <w:lang w:eastAsia="zh-CN"/>
        </w:rPr>
        <w:t>切实增强紧迫感和责任感，准确分析把握面临形势，更加注重全局性谋划和整体性推进，坚持问题导向、目标导向，抢抓机遇、应对挑战，用更大的力度和更实的措施，推动全盟农牧业农村牧区发展再上新台阶</w:t>
      </w:r>
      <w:r>
        <w:rPr>
          <w:rFonts w:hint="eastAsia" w:ascii="仿宋" w:hAnsi="仿宋" w:eastAsia="仿宋" w:cstheme="minorBidi"/>
          <w:sz w:val="32"/>
          <w:szCs w:val="32"/>
        </w:rPr>
        <w:t>。</w:t>
      </w:r>
      <w:bookmarkStart w:id="112" w:name="_Toc17866"/>
      <w:bookmarkStart w:id="113" w:name="_Toc20597"/>
      <w:bookmarkStart w:id="114" w:name="_Toc59000493"/>
      <w:bookmarkStart w:id="115" w:name="_Toc58870085"/>
      <w:bookmarkStart w:id="116" w:name="_Toc12494"/>
      <w:bookmarkStart w:id="117" w:name="_Toc25694"/>
      <w:bookmarkStart w:id="118" w:name="_Toc24477"/>
      <w:bookmarkStart w:id="119" w:name="_Toc20276"/>
      <w:bookmarkStart w:id="120" w:name="_Toc2985"/>
      <w:bookmarkStart w:id="121" w:name="_Toc10952"/>
      <w:bookmarkStart w:id="122" w:name="_Toc24400"/>
    </w:p>
    <w:p w14:paraId="3441B985">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heme="minorBidi"/>
          <w:sz w:val="32"/>
          <w:szCs w:val="32"/>
        </w:rPr>
      </w:pPr>
    </w:p>
    <w:p w14:paraId="1D4F0313">
      <w:pPr>
        <w:pStyle w:val="2"/>
        <w:rPr>
          <w:rFonts w:hint="eastAsia"/>
        </w:rPr>
      </w:pPr>
    </w:p>
    <w:p w14:paraId="5DC6EB5C">
      <w:pPr>
        <w:pStyle w:val="2"/>
        <w:rPr>
          <w:rFonts w:hint="eastAsia"/>
        </w:rPr>
      </w:pPr>
    </w:p>
    <w:p w14:paraId="005EEE9F"/>
    <w:p w14:paraId="4AC2D06C"/>
    <w:p w14:paraId="731425F7">
      <w:pPr>
        <w:rPr>
          <w:rFonts w:hint="eastAsia"/>
        </w:rPr>
      </w:pPr>
      <w:bookmarkStart w:id="123" w:name="_Toc18952"/>
      <w:bookmarkStart w:id="124" w:name="_Toc27021"/>
      <w:bookmarkStart w:id="125" w:name="_Toc27579"/>
      <w:bookmarkStart w:id="126" w:name="_Toc9560"/>
    </w:p>
    <w:p w14:paraId="6D588FF3">
      <w:pPr>
        <w:pStyle w:val="2"/>
        <w:rPr>
          <w:rFonts w:hint="eastAsia"/>
        </w:rPr>
      </w:pPr>
    </w:p>
    <w:p w14:paraId="713085C8">
      <w:pPr>
        <w:jc w:val="center"/>
        <w:rPr>
          <w:rFonts w:hint="eastAsia" w:ascii="方正小标宋简体" w:hAnsi="方正小标宋简体" w:eastAsia="方正小标宋简体" w:cs="方正小标宋简体"/>
          <w:sz w:val="44"/>
          <w:szCs w:val="44"/>
        </w:rPr>
      </w:pPr>
    </w:p>
    <w:p w14:paraId="39C7C234">
      <w:pPr>
        <w:pStyle w:val="2"/>
        <w:rPr>
          <w:rFonts w:hint="eastAsia" w:ascii="方正小标宋简体" w:hAnsi="方正小标宋简体" w:eastAsia="方正小标宋简体" w:cs="方正小标宋简体"/>
          <w:sz w:val="44"/>
          <w:szCs w:val="44"/>
        </w:rPr>
      </w:pPr>
    </w:p>
    <w:p w14:paraId="2BD807C1">
      <w:pPr>
        <w:rPr>
          <w:rFonts w:hint="eastAsia" w:ascii="方正小标宋简体" w:hAnsi="方正小标宋简体" w:eastAsia="方正小标宋简体" w:cs="方正小标宋简体"/>
          <w:sz w:val="44"/>
          <w:szCs w:val="44"/>
        </w:rPr>
      </w:pPr>
    </w:p>
    <w:p w14:paraId="6339A5D3">
      <w:pPr>
        <w:pStyle w:val="2"/>
        <w:rPr>
          <w:rFonts w:hint="eastAsia" w:ascii="方正小标宋简体" w:hAnsi="方正小标宋简体" w:eastAsia="方正小标宋简体" w:cs="方正小标宋简体"/>
          <w:sz w:val="44"/>
          <w:szCs w:val="44"/>
        </w:rPr>
      </w:pPr>
    </w:p>
    <w:p w14:paraId="3FBAA4A1">
      <w:pPr>
        <w:rPr>
          <w:rFonts w:hint="eastAsia" w:ascii="方正小标宋简体" w:hAnsi="方正小标宋简体" w:eastAsia="方正小标宋简体" w:cs="方正小标宋简体"/>
          <w:sz w:val="44"/>
          <w:szCs w:val="44"/>
        </w:rPr>
      </w:pPr>
    </w:p>
    <w:p w14:paraId="6AE5CDA1">
      <w:pPr>
        <w:pStyle w:val="2"/>
        <w:rPr>
          <w:rFonts w:hint="eastAsia"/>
        </w:rPr>
      </w:pPr>
    </w:p>
    <w:p w14:paraId="7473AC99">
      <w:pPr>
        <w:pStyle w:val="2"/>
        <w:rPr>
          <w:rFonts w:hint="eastAsia"/>
        </w:rPr>
      </w:pPr>
    </w:p>
    <w:p w14:paraId="490A4874">
      <w:pPr>
        <w:rPr>
          <w:rFonts w:hint="eastAsia"/>
        </w:rPr>
      </w:pPr>
    </w:p>
    <w:p w14:paraId="1D2341CC">
      <w:pPr>
        <w:rPr>
          <w:rFonts w:hint="eastAsia"/>
        </w:rPr>
      </w:pPr>
    </w:p>
    <w:p w14:paraId="0395F8B8">
      <w:pPr>
        <w:jc w:val="center"/>
        <w:rPr>
          <w:rFonts w:hint="eastAsia" w:ascii="仿宋" w:hAnsi="仿宋" w:eastAsia="仿宋" w:cs="仿宋"/>
          <w:sz w:val="32"/>
          <w:szCs w:val="32"/>
        </w:rPr>
      </w:pPr>
      <w:bookmarkStart w:id="127" w:name="_Toc71465642_WPSOffice_Level1"/>
    </w:p>
    <w:p w14:paraId="5131F381">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第二章</w:t>
      </w:r>
      <w:bookmarkEnd w:id="112"/>
      <w:bookmarkEnd w:id="113"/>
      <w:r>
        <w:rPr>
          <w:rFonts w:hint="eastAsia" w:ascii="方正小标宋简体" w:hAnsi="方正小标宋简体" w:eastAsia="方正小标宋简体" w:cs="方正小标宋简体"/>
          <w:sz w:val="44"/>
          <w:szCs w:val="44"/>
        </w:rPr>
        <w:t xml:space="preserve"> </w:t>
      </w:r>
      <w:bookmarkEnd w:id="114"/>
      <w:bookmarkEnd w:id="115"/>
      <w:bookmarkEnd w:id="116"/>
      <w:r>
        <w:rPr>
          <w:rFonts w:hint="eastAsia" w:ascii="方正小标宋简体" w:hAnsi="方正小标宋简体" w:eastAsia="方正小标宋简体" w:cs="方正小标宋简体"/>
          <w:sz w:val="44"/>
          <w:szCs w:val="44"/>
        </w:rPr>
        <w:t>发展思路与目标</w:t>
      </w:r>
      <w:bookmarkEnd w:id="123"/>
      <w:bookmarkEnd w:id="124"/>
      <w:bookmarkEnd w:id="125"/>
      <w:bookmarkEnd w:id="126"/>
      <w:bookmarkEnd w:id="127"/>
      <w:bookmarkStart w:id="128" w:name="_Toc22151"/>
      <w:bookmarkStart w:id="129" w:name="_Toc31034"/>
      <w:bookmarkStart w:id="130" w:name="_Toc24322"/>
      <w:bookmarkStart w:id="131" w:name="_Toc75046881_WPSOffice_Level2"/>
      <w:bookmarkStart w:id="132" w:name="_Toc15615"/>
      <w:bookmarkStart w:id="133" w:name="_Toc22275"/>
      <w:bookmarkStart w:id="134" w:name="_Toc58870086"/>
      <w:bookmarkStart w:id="135" w:name="_Toc1813"/>
      <w:bookmarkStart w:id="136" w:name="_Toc59000494"/>
      <w:bookmarkStart w:id="137" w:name="_Toc27155"/>
    </w:p>
    <w:p w14:paraId="597EABD1">
      <w:pPr>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第一节 战略导向</w:t>
      </w:r>
      <w:bookmarkEnd w:id="128"/>
      <w:bookmarkEnd w:id="129"/>
      <w:bookmarkEnd w:id="130"/>
      <w:bookmarkEnd w:id="131"/>
      <w:bookmarkEnd w:id="132"/>
    </w:p>
    <w:p w14:paraId="3A045725">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theme="minorBidi"/>
          <w:sz w:val="32"/>
          <w:szCs w:val="32"/>
        </w:rPr>
      </w:pPr>
      <w:r>
        <w:rPr>
          <w:rFonts w:ascii="仿宋" w:hAnsi="仿宋" w:eastAsia="仿宋" w:cstheme="minorBidi"/>
          <w:sz w:val="32"/>
          <w:szCs w:val="32"/>
        </w:rPr>
        <w:t>深入贯彻自治区</w:t>
      </w:r>
      <w:r>
        <w:rPr>
          <w:rFonts w:hint="eastAsia" w:ascii="仿宋" w:hAnsi="仿宋" w:eastAsia="仿宋" w:cstheme="minorBidi"/>
          <w:sz w:val="32"/>
          <w:szCs w:val="32"/>
          <w:lang w:eastAsia="zh-CN"/>
        </w:rPr>
        <w:t>党委、政府</w:t>
      </w:r>
      <w:r>
        <w:rPr>
          <w:rFonts w:ascii="仿宋" w:hAnsi="仿宋" w:eastAsia="仿宋" w:cstheme="minorBidi"/>
          <w:sz w:val="32"/>
          <w:szCs w:val="32"/>
        </w:rPr>
        <w:t>“推动农畜产品生产基地优质高效转型”决策部署，积极转变农牧业</w:t>
      </w:r>
      <w:r>
        <w:rPr>
          <w:rFonts w:hint="eastAsia" w:ascii="仿宋" w:hAnsi="仿宋" w:eastAsia="仿宋" w:cstheme="minorBidi"/>
          <w:sz w:val="32"/>
          <w:szCs w:val="32"/>
          <w:lang w:eastAsia="zh-CN"/>
        </w:rPr>
        <w:t>发展</w:t>
      </w:r>
      <w:r>
        <w:rPr>
          <w:rFonts w:ascii="仿宋" w:hAnsi="仿宋" w:eastAsia="仿宋" w:cstheme="minorBidi"/>
          <w:sz w:val="32"/>
          <w:szCs w:val="32"/>
        </w:rPr>
        <w:t>方式，持续深化供给侧结构性改革，不断将基础设施建设和基本公共服务向农村牧区延伸覆盖，将先进技术、现代装备和管理理念引入农牧业发展中，持续提高农牧业生产效率，改善农村牧区面貌，提升农牧民生活质量。要以保障农畜产品有效供给为基础，强化农牧业科技和装备支撑，推进农牧业全产业链开发，加强农村牧区建设和治理，引导小农牧户和现代农牧业发展有机衔接，促进农牧民共同富裕，推动农牧业农村牧区全面振兴。</w:t>
      </w:r>
    </w:p>
    <w:p w14:paraId="58215705">
      <w:pPr>
        <w:pStyle w:val="4"/>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rPr>
          <w:rFonts w:ascii="Calibri Light" w:hAnsi="Calibri Light" w:cs="Times New Roman"/>
          <w:b w:val="0"/>
          <w:bCs w:val="0"/>
          <w:szCs w:val="36"/>
        </w:rPr>
      </w:pPr>
      <w:bookmarkStart w:id="138" w:name="_Toc11292"/>
      <w:bookmarkStart w:id="139" w:name="_Toc17495"/>
      <w:bookmarkStart w:id="140" w:name="_Toc23115"/>
      <w:bookmarkStart w:id="141" w:name="_Toc513815349_WPSOffice_Level2"/>
      <w:bookmarkStart w:id="142" w:name="_Toc877"/>
      <w:r>
        <w:rPr>
          <w:rFonts w:hint="eastAsia" w:ascii="Calibri Light" w:hAnsi="Calibri Light" w:cs="Times New Roman"/>
          <w:b w:val="0"/>
          <w:bCs w:val="0"/>
          <w:szCs w:val="36"/>
        </w:rPr>
        <w:t>第二节 指导思想</w:t>
      </w:r>
      <w:bookmarkEnd w:id="133"/>
      <w:bookmarkEnd w:id="134"/>
      <w:bookmarkEnd w:id="135"/>
      <w:bookmarkEnd w:id="136"/>
      <w:bookmarkEnd w:id="137"/>
      <w:bookmarkEnd w:id="138"/>
      <w:bookmarkEnd w:id="139"/>
      <w:bookmarkEnd w:id="140"/>
      <w:bookmarkEnd w:id="141"/>
      <w:bookmarkEnd w:id="142"/>
    </w:p>
    <w:p w14:paraId="4F30F799">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bookmarkStart w:id="143" w:name="_Toc5322"/>
      <w:bookmarkStart w:id="144" w:name="_Toc58870087"/>
      <w:bookmarkStart w:id="145" w:name="_Toc59000495"/>
      <w:r>
        <w:rPr>
          <w:rFonts w:hint="eastAsia" w:ascii="仿宋" w:hAnsi="仿宋" w:eastAsia="仿宋" w:cs="仿宋"/>
          <w:sz w:val="32"/>
          <w:szCs w:val="32"/>
          <w:lang w:eastAsia="zh-CN"/>
        </w:rPr>
        <w:t>高举中国特色社会主义伟大旗帜，</w:t>
      </w:r>
      <w:r>
        <w:rPr>
          <w:rFonts w:hint="eastAsia" w:ascii="仿宋" w:hAnsi="仿宋" w:eastAsia="仿宋" w:cs="仿宋"/>
          <w:sz w:val="32"/>
          <w:szCs w:val="32"/>
        </w:rPr>
        <w:t>以习近平新时代中国特色社会主义思想为指导，</w:t>
      </w:r>
      <w:r>
        <w:rPr>
          <w:rFonts w:hint="eastAsia" w:ascii="仿宋" w:hAnsi="仿宋" w:eastAsia="仿宋" w:cs="仿宋"/>
          <w:sz w:val="32"/>
          <w:szCs w:val="32"/>
          <w:lang w:eastAsia="zh-CN"/>
        </w:rPr>
        <w:t>统筹推进“五位一体”总体布局，协调推进“四个全面”战略布局，</w:t>
      </w:r>
      <w:r>
        <w:rPr>
          <w:rFonts w:hint="eastAsia" w:ascii="仿宋" w:hAnsi="仿宋" w:eastAsia="仿宋" w:cs="仿宋"/>
          <w:sz w:val="32"/>
          <w:szCs w:val="32"/>
        </w:rPr>
        <w:t>深入贯彻党的十九大和十九届历次全会精神，</w:t>
      </w:r>
      <w:r>
        <w:rPr>
          <w:rFonts w:hint="eastAsia" w:ascii="仿宋" w:hAnsi="仿宋" w:eastAsia="仿宋" w:cs="仿宋"/>
          <w:sz w:val="32"/>
          <w:szCs w:val="32"/>
          <w:lang w:eastAsia="zh-CN"/>
        </w:rPr>
        <w:t>全面落实</w:t>
      </w:r>
      <w:r>
        <w:rPr>
          <w:rFonts w:hint="eastAsia" w:ascii="仿宋" w:hAnsi="仿宋" w:eastAsia="仿宋" w:cs="仿宋"/>
          <w:sz w:val="32"/>
          <w:szCs w:val="32"/>
        </w:rPr>
        <w:t>习近平总书记关于“三农”工作重要论述和对内蒙古重要讲话重要指示批示精神，</w:t>
      </w:r>
      <w:r>
        <w:rPr>
          <w:rFonts w:ascii="仿宋" w:hAnsi="仿宋" w:eastAsia="仿宋" w:cs="仿宋"/>
          <w:sz w:val="32"/>
          <w:szCs w:val="32"/>
        </w:rPr>
        <w:t>坚持稳中求进工作总基调，坚持农牧业农村牧区优先发展总方针，</w:t>
      </w:r>
      <w:r>
        <w:rPr>
          <w:rFonts w:hint="eastAsia" w:ascii="仿宋" w:hAnsi="仿宋" w:eastAsia="仿宋" w:cs="仿宋"/>
          <w:sz w:val="32"/>
          <w:szCs w:val="32"/>
        </w:rPr>
        <w:t>立足新发展阶段，贯彻新发展理念，构建新发展格局，全力服务于国家绿色农畜产品生产基地和</w:t>
      </w:r>
      <w:r>
        <w:rPr>
          <w:rFonts w:hint="eastAsia" w:ascii="仿宋" w:hAnsi="仿宋" w:eastAsia="仿宋" w:cs="仿宋"/>
          <w:sz w:val="32"/>
          <w:szCs w:val="32"/>
          <w:lang w:eastAsia="zh-CN"/>
        </w:rPr>
        <w:t>我国北方重要</w:t>
      </w:r>
      <w:r>
        <w:rPr>
          <w:rFonts w:hint="eastAsia" w:ascii="仿宋" w:hAnsi="仿宋" w:eastAsia="仿宋" w:cs="仿宋"/>
          <w:sz w:val="32"/>
          <w:szCs w:val="32"/>
        </w:rPr>
        <w:t>生态安全屏障战略定位，</w:t>
      </w:r>
      <w:r>
        <w:rPr>
          <w:rFonts w:hint="eastAsia" w:ascii="仿宋" w:hAnsi="仿宋" w:eastAsia="仿宋" w:cs="仿宋"/>
          <w:sz w:val="32"/>
          <w:szCs w:val="32"/>
          <w:lang w:eastAsia="zh-CN"/>
        </w:rPr>
        <w:t>坚持农牧业现代化与农村牧区现代化一体设计、一并推进，</w:t>
      </w:r>
      <w:r>
        <w:rPr>
          <w:rFonts w:hint="eastAsia" w:ascii="仿宋" w:hAnsi="仿宋" w:eastAsia="仿宋" w:cs="仿宋"/>
          <w:sz w:val="32"/>
          <w:szCs w:val="32"/>
        </w:rPr>
        <w:t>以实施乡村振兴战略为抓手，以深化供给侧结构性改革为主线，坚持绿色兴农兴牧、科技兴农兴牧、质量兴农兴牧，加快</w:t>
      </w:r>
      <w:r>
        <w:rPr>
          <w:rFonts w:hint="eastAsia" w:ascii="仿宋" w:hAnsi="仿宋" w:eastAsia="仿宋" w:cs="仿宋"/>
          <w:sz w:val="32"/>
          <w:szCs w:val="32"/>
          <w:lang w:eastAsia="zh-CN"/>
        </w:rPr>
        <w:t>推进</w:t>
      </w:r>
      <w:r>
        <w:rPr>
          <w:rFonts w:hint="eastAsia" w:ascii="仿宋" w:hAnsi="仿宋" w:eastAsia="仿宋" w:cs="仿宋"/>
          <w:sz w:val="32"/>
          <w:szCs w:val="32"/>
        </w:rPr>
        <w:t>农畜产品生产基地优质高效转型，持续加强农村牧区基础设施和公共服务能力建设，实现巩固拓展脱贫攻坚成果同乡村振兴有效衔接，</w:t>
      </w:r>
      <w:r>
        <w:rPr>
          <w:rFonts w:hint="eastAsia" w:ascii="仿宋" w:hAnsi="仿宋" w:eastAsia="仿宋" w:cs="仿宋"/>
          <w:sz w:val="32"/>
          <w:szCs w:val="32"/>
          <w:lang w:eastAsia="zh-CN"/>
        </w:rPr>
        <w:t>全面推进乡村产业、人才、文化、生态、组织振兴，</w:t>
      </w:r>
      <w:r>
        <w:rPr>
          <w:rFonts w:ascii="仿宋" w:hAnsi="仿宋" w:eastAsia="仿宋" w:cs="仿宋"/>
          <w:sz w:val="32"/>
          <w:szCs w:val="32"/>
        </w:rPr>
        <w:t>坚持走以生态优先、绿色发展为导向的高质量发展新路子，加快</w:t>
      </w:r>
      <w:r>
        <w:rPr>
          <w:rFonts w:hint="eastAsia" w:ascii="仿宋" w:hAnsi="仿宋" w:eastAsia="仿宋" w:cs="仿宋"/>
          <w:sz w:val="32"/>
          <w:szCs w:val="32"/>
          <w:lang w:eastAsia="zh-CN"/>
        </w:rPr>
        <w:t>推动</w:t>
      </w:r>
      <w:r>
        <w:rPr>
          <w:rFonts w:ascii="仿宋" w:hAnsi="仿宋" w:eastAsia="仿宋" w:cs="仿宋"/>
          <w:sz w:val="32"/>
          <w:szCs w:val="32"/>
        </w:rPr>
        <w:t>全盟农牧业农村牧区现代化发展步伐。</w:t>
      </w:r>
      <w:bookmarkEnd w:id="143"/>
      <w:bookmarkEnd w:id="144"/>
      <w:bookmarkEnd w:id="145"/>
      <w:bookmarkStart w:id="146" w:name="_Toc60561651"/>
      <w:bookmarkStart w:id="147" w:name="_Toc5419"/>
      <w:bookmarkStart w:id="148" w:name="_Toc2603"/>
      <w:bookmarkStart w:id="149" w:name="_Toc59000496"/>
      <w:bookmarkStart w:id="150" w:name="_Toc3479"/>
      <w:bookmarkStart w:id="151" w:name="_Toc58870088"/>
    </w:p>
    <w:p w14:paraId="15103AC6">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Cs w:val="36"/>
        </w:rPr>
      </w:pPr>
      <w:bookmarkStart w:id="152" w:name="_Toc29526"/>
      <w:bookmarkStart w:id="153" w:name="_Toc654771145_WPSOffice_Level2"/>
      <w:bookmarkStart w:id="154" w:name="_Toc15542"/>
      <w:bookmarkStart w:id="155" w:name="_Toc28274"/>
      <w:bookmarkStart w:id="156" w:name="_Toc18774"/>
      <w:r>
        <w:rPr>
          <w:rFonts w:hint="eastAsia" w:ascii="Calibri Light" w:hAnsi="Calibri Light" w:cs="Times New Roman"/>
          <w:b w:val="0"/>
          <w:bCs w:val="0"/>
          <w:szCs w:val="36"/>
        </w:rPr>
        <w:t>第三节 基本原则</w:t>
      </w:r>
      <w:bookmarkEnd w:id="146"/>
      <w:bookmarkEnd w:id="152"/>
      <w:bookmarkEnd w:id="153"/>
      <w:bookmarkEnd w:id="154"/>
      <w:bookmarkEnd w:id="155"/>
      <w:bookmarkEnd w:id="156"/>
    </w:p>
    <w:p w14:paraId="030D1E7E">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val="0"/>
          <w:sz w:val="32"/>
          <w:szCs w:val="32"/>
        </w:rPr>
        <w:t>坚持生态优先、绿色发展。</w:t>
      </w:r>
      <w:r>
        <w:rPr>
          <w:rFonts w:hint="eastAsia" w:ascii="仿宋" w:hAnsi="仿宋" w:eastAsia="仿宋" w:cs="仿宋"/>
          <w:sz w:val="32"/>
          <w:szCs w:val="32"/>
        </w:rPr>
        <w:t>牢固树立绿水青山就是金山银山的理念，以水资源和环境承载力为刚性约束，坚持以水定产、量水而行，严守生态保护红线，严格落实草畜平衡、禁牧、休牧、轮牧制度，优化农牧业布局和生产结构，推动农牧业绿色高质量发展。</w:t>
      </w:r>
    </w:p>
    <w:p w14:paraId="3B21C666">
      <w:pPr>
        <w:pStyle w:val="2"/>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sz w:val="32"/>
          <w:szCs w:val="32"/>
        </w:rPr>
      </w:pPr>
      <w:r>
        <w:rPr>
          <w:rFonts w:hint="eastAsia" w:ascii="仿宋" w:hAnsi="仿宋" w:eastAsia="仿宋" w:cs="仿宋"/>
          <w:b/>
          <w:bCs w:val="0"/>
          <w:sz w:val="32"/>
          <w:szCs w:val="32"/>
        </w:rPr>
        <w:t>坚持创新驱动、补齐短板。</w:t>
      </w:r>
      <w:r>
        <w:rPr>
          <w:rFonts w:hint="eastAsia" w:ascii="仿宋" w:hAnsi="仿宋" w:eastAsia="仿宋" w:cs="仿宋"/>
          <w:b w:val="0"/>
          <w:bCs/>
          <w:sz w:val="32"/>
          <w:szCs w:val="32"/>
        </w:rPr>
        <w:t>坚持科技创新引领全面创新，建立健全城乡融合发展体制机制，加快补齐农牧业农村牧区基础设施滞后、要素配置不合理、公共服务能力不强、人才队伍紧缺等方面短板和弱项，推动农牧业农村牧区充分发展和城乡融合发展。</w:t>
      </w:r>
    </w:p>
    <w:p w14:paraId="5D8578D7">
      <w:pPr>
        <w:pStyle w:val="2"/>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坚持因地制宜、统筹推进。</w:t>
      </w:r>
      <w:r>
        <w:rPr>
          <w:rFonts w:hint="eastAsia" w:ascii="仿宋" w:hAnsi="仿宋" w:eastAsia="仿宋" w:cs="仿宋"/>
          <w:b w:val="0"/>
          <w:bCs/>
          <w:sz w:val="32"/>
          <w:szCs w:val="32"/>
        </w:rPr>
        <w:t>围绕各地区资源禀赋和产业实际，坚持因地制宜</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分类施策，</w:t>
      </w:r>
      <w:r>
        <w:rPr>
          <w:rFonts w:hint="eastAsia" w:ascii="仿宋" w:hAnsi="仿宋" w:eastAsia="仿宋" w:cs="仿宋"/>
          <w:b w:val="0"/>
          <w:bCs/>
          <w:sz w:val="32"/>
          <w:szCs w:val="32"/>
          <w:lang w:eastAsia="zh-CN"/>
        </w:rPr>
        <w:t>突出重点、有序推进</w:t>
      </w:r>
      <w:r>
        <w:rPr>
          <w:rFonts w:hint="eastAsia" w:ascii="仿宋" w:hAnsi="仿宋" w:eastAsia="仿宋" w:cs="仿宋"/>
          <w:b w:val="0"/>
          <w:bCs/>
          <w:sz w:val="32"/>
          <w:szCs w:val="32"/>
        </w:rPr>
        <w:t>。注重规划先行、精准施策</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不搞一刀切，既尽力而为，又量力而行，既勇于改革创新</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又坚守底线思维，合理设定阶段性目标任务，统筹好发展和安全两件大事</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统筹推进，久久为功。</w:t>
      </w:r>
    </w:p>
    <w:p w14:paraId="189A5BC4">
      <w:pPr>
        <w:pStyle w:val="2"/>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rPr>
      </w:pPr>
      <w:r>
        <w:rPr>
          <w:rFonts w:hint="eastAsia" w:ascii="仿宋" w:hAnsi="仿宋" w:eastAsia="仿宋" w:cs="仿宋"/>
          <w:b/>
          <w:bCs w:val="0"/>
        </w:rPr>
        <w:t>坚持政府主导、农牧民主体。</w:t>
      </w:r>
      <w:r>
        <w:rPr>
          <w:rFonts w:hint="eastAsia" w:ascii="仿宋" w:hAnsi="仿宋" w:eastAsia="仿宋" w:cs="仿宋"/>
          <w:bCs/>
        </w:rPr>
        <w:t>充分尊重农牧民意愿，顺应农牧民期盼，把维护农牧民群众根本利益、促进农牧民共同富裕作为出发点和落脚点，不断提升农牧民素质，促进农牧民持续增收，充分调动农牧民建设美好家园的积极性、主动性</w:t>
      </w:r>
      <w:r>
        <w:rPr>
          <w:rFonts w:hint="eastAsia" w:ascii="仿宋" w:hAnsi="仿宋" w:eastAsia="仿宋" w:cs="仿宋"/>
          <w:bCs/>
          <w:lang w:eastAsia="zh-CN"/>
        </w:rPr>
        <w:t>和</w:t>
      </w:r>
      <w:r>
        <w:rPr>
          <w:rFonts w:hint="eastAsia" w:ascii="仿宋" w:hAnsi="仿宋" w:eastAsia="仿宋" w:cs="仿宋"/>
          <w:bCs/>
        </w:rPr>
        <w:t>创造性，不断提升农牧民</w:t>
      </w:r>
      <w:r>
        <w:rPr>
          <w:rFonts w:hint="eastAsia" w:ascii="仿宋" w:hAnsi="仿宋" w:eastAsia="仿宋" w:cs="仿宋"/>
          <w:bCs/>
          <w:lang w:eastAsia="zh-CN"/>
        </w:rPr>
        <w:t>群众</w:t>
      </w:r>
      <w:r>
        <w:rPr>
          <w:rFonts w:hint="eastAsia" w:ascii="仿宋" w:hAnsi="仿宋" w:eastAsia="仿宋" w:cs="仿宋"/>
          <w:bCs/>
        </w:rPr>
        <w:t>获得感、幸福感</w:t>
      </w:r>
      <w:r>
        <w:rPr>
          <w:rFonts w:hint="eastAsia" w:ascii="仿宋" w:hAnsi="仿宋" w:eastAsia="仿宋" w:cs="仿宋"/>
          <w:bCs/>
          <w:lang w:eastAsia="zh-CN"/>
        </w:rPr>
        <w:t>和</w:t>
      </w:r>
      <w:r>
        <w:rPr>
          <w:rFonts w:hint="eastAsia" w:ascii="仿宋" w:hAnsi="仿宋" w:eastAsia="仿宋" w:cs="仿宋"/>
          <w:bCs/>
        </w:rPr>
        <w:t>安全感。</w:t>
      </w:r>
    </w:p>
    <w:p w14:paraId="54500BC0">
      <w:pPr>
        <w:pStyle w:val="2"/>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rPr>
      </w:pPr>
      <w:r>
        <w:rPr>
          <w:rFonts w:hint="eastAsia" w:ascii="仿宋" w:hAnsi="仿宋" w:eastAsia="仿宋" w:cs="仿宋"/>
          <w:b/>
          <w:bCs w:val="0"/>
        </w:rPr>
        <w:t>坚持市场导向、融合发展。</w:t>
      </w:r>
      <w:r>
        <w:rPr>
          <w:rFonts w:hint="eastAsia" w:ascii="仿宋" w:hAnsi="仿宋" w:eastAsia="仿宋" w:cs="仿宋"/>
        </w:rPr>
        <w:t>充分发挥市场在资源配置中的决定性作用，激活要素、激活市场、激活主体，以农牧企业为载体，引导资源要素更多向农村牧区汇聚。充分发挥肉羊、肉牛</w:t>
      </w:r>
      <w:r>
        <w:rPr>
          <w:rFonts w:hint="eastAsia" w:ascii="仿宋" w:hAnsi="仿宋" w:eastAsia="仿宋" w:cs="仿宋"/>
          <w:lang w:eastAsia="zh-CN"/>
        </w:rPr>
        <w:t>等</w:t>
      </w:r>
      <w:r>
        <w:rPr>
          <w:rFonts w:hint="eastAsia" w:ascii="仿宋" w:hAnsi="仿宋" w:eastAsia="仿宋" w:cs="仿宋"/>
        </w:rPr>
        <w:t>产业</w:t>
      </w:r>
      <w:r>
        <w:rPr>
          <w:rFonts w:hint="eastAsia" w:ascii="仿宋" w:hAnsi="仿宋" w:eastAsia="仿宋" w:cs="仿宋"/>
          <w:lang w:eastAsia="zh-CN"/>
        </w:rPr>
        <w:t>的</w:t>
      </w:r>
      <w:r>
        <w:rPr>
          <w:rFonts w:hint="eastAsia" w:ascii="仿宋" w:hAnsi="仿宋" w:eastAsia="仿宋" w:cs="仿宋"/>
        </w:rPr>
        <w:t>资源优势和区位优势，</w:t>
      </w:r>
      <w:r>
        <w:rPr>
          <w:rFonts w:hint="eastAsia" w:ascii="仿宋" w:hAnsi="仿宋" w:eastAsia="仿宋" w:cs="仿宋"/>
          <w:lang w:eastAsia="zh-CN"/>
        </w:rPr>
        <w:t>推动</w:t>
      </w:r>
      <w:r>
        <w:rPr>
          <w:rFonts w:hint="eastAsia" w:ascii="仿宋" w:hAnsi="仿宋" w:eastAsia="仿宋" w:cs="仿宋"/>
        </w:rPr>
        <w:t>全产业链发展，</w:t>
      </w:r>
      <w:r>
        <w:rPr>
          <w:rFonts w:hint="eastAsia" w:ascii="仿宋" w:hAnsi="仿宋" w:eastAsia="仿宋" w:cs="仿宋"/>
          <w:lang w:eastAsia="zh-CN"/>
        </w:rPr>
        <w:t>促进</w:t>
      </w:r>
      <w:r>
        <w:rPr>
          <w:rFonts w:hint="eastAsia" w:ascii="仿宋" w:hAnsi="仿宋" w:eastAsia="仿宋" w:cs="仿宋"/>
        </w:rPr>
        <w:t>一二三产业有效融合。</w:t>
      </w:r>
    </w:p>
    <w:bookmarkEnd w:id="147"/>
    <w:bookmarkEnd w:id="148"/>
    <w:bookmarkEnd w:id="149"/>
    <w:bookmarkEnd w:id="150"/>
    <w:bookmarkEnd w:id="151"/>
    <w:p w14:paraId="2B793017">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Cs w:val="36"/>
        </w:rPr>
      </w:pPr>
      <w:bookmarkStart w:id="157" w:name="_Toc59000497"/>
      <w:bookmarkStart w:id="158" w:name="_Toc694231440_WPSOffice_Level2"/>
      <w:bookmarkStart w:id="159" w:name="_Toc24003"/>
      <w:bookmarkStart w:id="160" w:name="_Toc25146"/>
      <w:bookmarkStart w:id="161" w:name="_Toc13970"/>
      <w:bookmarkStart w:id="162" w:name="_Toc8237"/>
      <w:bookmarkStart w:id="163" w:name="_Toc58870089"/>
      <w:r>
        <w:rPr>
          <w:rFonts w:hint="eastAsia" w:ascii="Calibri Light" w:hAnsi="Calibri Light" w:cs="Times New Roman"/>
          <w:b w:val="0"/>
          <w:bCs w:val="0"/>
          <w:szCs w:val="36"/>
        </w:rPr>
        <w:t>第四节 发展目标</w:t>
      </w:r>
      <w:bookmarkEnd w:id="117"/>
      <w:bookmarkEnd w:id="118"/>
      <w:bookmarkEnd w:id="119"/>
      <w:bookmarkEnd w:id="157"/>
      <w:bookmarkEnd w:id="158"/>
      <w:bookmarkEnd w:id="159"/>
      <w:bookmarkEnd w:id="160"/>
      <w:bookmarkEnd w:id="161"/>
      <w:bookmarkEnd w:id="162"/>
      <w:bookmarkEnd w:id="163"/>
    </w:p>
    <w:p w14:paraId="00957F61">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theme="minorBidi"/>
          <w:sz w:val="32"/>
          <w:szCs w:val="32"/>
        </w:rPr>
      </w:pPr>
      <w:r>
        <w:rPr>
          <w:rFonts w:ascii="仿宋" w:hAnsi="仿宋" w:eastAsia="仿宋" w:cstheme="minorBidi"/>
          <w:sz w:val="32"/>
          <w:szCs w:val="32"/>
        </w:rPr>
        <w:t>到2025年，全盟农牧业农村牧区现代化取得重要进展，乡村振兴战略全面推进，农牧业发展基础更加稳固，综合生产能力大幅提升，质量效益和竞争力稳步提高，农牧业农村牧区基础设施建设和公共服务能力显著提升，农村牧区生态环境明显改善，现代乡村治理体系初步构建，治理能力有效增强，农牧民生产生活水平稳步提</w:t>
      </w:r>
      <w:r>
        <w:rPr>
          <w:rFonts w:hint="eastAsia" w:ascii="仿宋" w:hAnsi="仿宋" w:eastAsia="仿宋" w:cstheme="minorBidi"/>
          <w:sz w:val="32"/>
          <w:szCs w:val="32"/>
          <w:lang w:eastAsia="zh-CN"/>
        </w:rPr>
        <w:t>高</w:t>
      </w:r>
      <w:r>
        <w:rPr>
          <w:rFonts w:ascii="仿宋" w:hAnsi="仿宋" w:eastAsia="仿宋" w:cstheme="minorBidi"/>
          <w:sz w:val="32"/>
          <w:szCs w:val="32"/>
        </w:rPr>
        <w:t>，实现巩固拓展脱贫攻坚成果同乡村振兴有效衔接。</w:t>
      </w:r>
    </w:p>
    <w:p w14:paraId="1D3425D1">
      <w:pPr>
        <w:pStyle w:val="2"/>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ascii="仿宋" w:hAnsi="仿宋" w:eastAsia="仿宋" w:cstheme="minorBidi"/>
        </w:rPr>
        <w:t>展望2035年，全盟</w:t>
      </w:r>
      <w:r>
        <w:rPr>
          <w:rFonts w:hint="eastAsia" w:ascii="仿宋" w:hAnsi="仿宋" w:eastAsia="仿宋" w:cstheme="minorBidi"/>
          <w:lang w:eastAsia="zh-CN"/>
        </w:rPr>
        <w:t>农村牧区全面</w:t>
      </w:r>
      <w:r>
        <w:rPr>
          <w:rFonts w:ascii="仿宋" w:hAnsi="仿宋" w:eastAsia="仿宋" w:cstheme="minorBidi"/>
        </w:rPr>
        <w:t>振兴取得决定性进展，农牧业农村牧区现代化基本实现。</w:t>
      </w:r>
    </w:p>
    <w:tbl>
      <w:tblPr>
        <w:tblStyle w:val="26"/>
        <w:tblpPr w:leftFromText="180" w:rightFromText="180" w:vertAnchor="text" w:horzAnchor="page" w:tblpX="1862" w:tblpY="6"/>
        <w:tblOverlap w:val="never"/>
        <w:tblW w:w="8414" w:type="dxa"/>
        <w:tblInd w:w="0" w:type="dxa"/>
        <w:shd w:val="clear" w:color="auto" w:fill="FFFFFF" w:themeFill="background1"/>
        <w:tblLayout w:type="fixed"/>
        <w:tblCellMar>
          <w:top w:w="0" w:type="dxa"/>
          <w:left w:w="108" w:type="dxa"/>
          <w:bottom w:w="0" w:type="dxa"/>
          <w:right w:w="108" w:type="dxa"/>
        </w:tblCellMar>
      </w:tblPr>
      <w:tblGrid>
        <w:gridCol w:w="564"/>
        <w:gridCol w:w="4526"/>
        <w:gridCol w:w="1170"/>
        <w:gridCol w:w="1215"/>
        <w:gridCol w:w="939"/>
      </w:tblGrid>
      <w:tr w14:paraId="06DFD4EE">
        <w:tblPrEx>
          <w:shd w:val="clear" w:color="auto" w:fill="FFFFFF" w:themeFill="background1"/>
          <w:tblCellMar>
            <w:top w:w="0" w:type="dxa"/>
            <w:left w:w="108" w:type="dxa"/>
            <w:bottom w:w="0" w:type="dxa"/>
            <w:right w:w="108" w:type="dxa"/>
          </w:tblCellMar>
        </w:tblPrEx>
        <w:trPr>
          <w:trHeight w:val="671" w:hRule="exact"/>
        </w:trPr>
        <w:tc>
          <w:tcPr>
            <w:tcW w:w="8414"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231FDB">
            <w:pPr>
              <w:spacing w:line="540" w:lineRule="exact"/>
              <w:jc w:val="center"/>
              <w:rPr>
                <w:rFonts w:ascii="仿宋" w:hAnsi="仿宋" w:eastAsia="仿宋"/>
                <w:b/>
                <w:bCs/>
                <w:kern w:val="0"/>
                <w:sz w:val="28"/>
                <w:szCs w:val="28"/>
              </w:rPr>
            </w:pPr>
            <w:r>
              <w:rPr>
                <w:rFonts w:hint="eastAsia" w:ascii="黑体" w:hAnsi="黑体" w:eastAsia="黑体" w:cs="黑体"/>
                <w:sz w:val="28"/>
                <w:szCs w:val="28"/>
              </w:rPr>
              <w:t>专栏1 “十四五”农牧业农村牧区现代化发展</w:t>
            </w:r>
            <w:r>
              <w:rPr>
                <w:rFonts w:hint="eastAsia" w:ascii="黑体" w:hAnsi="黑体" w:eastAsia="黑体" w:cs="黑体"/>
                <w:sz w:val="28"/>
                <w:szCs w:val="28"/>
                <w:lang w:eastAsia="zh-CN"/>
              </w:rPr>
              <w:t>主要</w:t>
            </w:r>
            <w:r>
              <w:rPr>
                <w:rFonts w:hint="eastAsia" w:ascii="黑体" w:hAnsi="黑体" w:eastAsia="黑体" w:cs="黑体"/>
                <w:sz w:val="28"/>
                <w:szCs w:val="28"/>
              </w:rPr>
              <w:t>指标</w:t>
            </w:r>
          </w:p>
        </w:tc>
      </w:tr>
      <w:tr w14:paraId="1CB229F2">
        <w:tblPrEx>
          <w:shd w:val="clear" w:color="auto" w:fill="FFFFFF" w:themeFill="background1"/>
          <w:tblCellMar>
            <w:top w:w="0" w:type="dxa"/>
            <w:left w:w="108" w:type="dxa"/>
            <w:bottom w:w="0" w:type="dxa"/>
            <w:right w:w="108" w:type="dxa"/>
          </w:tblCellMar>
        </w:tblPrEx>
        <w:trPr>
          <w:trHeight w:val="783" w:hRule="exact"/>
        </w:trPr>
        <w:tc>
          <w:tcPr>
            <w:tcW w:w="5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F2A435">
            <w:pPr>
              <w:jc w:val="center"/>
              <w:rPr>
                <w:rFonts w:hint="eastAsia" w:ascii="黑体" w:hAnsi="黑体" w:eastAsia="黑体" w:cs="黑体"/>
                <w:b w:val="0"/>
                <w:bCs/>
                <w:sz w:val="24"/>
              </w:rPr>
            </w:pPr>
            <w:r>
              <w:rPr>
                <w:rFonts w:hint="eastAsia" w:ascii="黑体" w:hAnsi="黑体" w:eastAsia="黑体" w:cs="黑体"/>
                <w:b w:val="0"/>
                <w:bCs/>
                <w:sz w:val="24"/>
              </w:rPr>
              <w:t>序　号</w:t>
            </w:r>
          </w:p>
        </w:tc>
        <w:tc>
          <w:tcPr>
            <w:tcW w:w="4526" w:type="dxa"/>
            <w:tcBorders>
              <w:top w:val="single" w:color="auto" w:sz="4" w:space="0"/>
              <w:left w:val="nil"/>
              <w:bottom w:val="single" w:color="auto" w:sz="4" w:space="0"/>
              <w:right w:val="single" w:color="auto" w:sz="4" w:space="0"/>
            </w:tcBorders>
            <w:shd w:val="clear" w:color="auto" w:fill="FFFFFF" w:themeFill="background1"/>
            <w:vAlign w:val="center"/>
          </w:tcPr>
          <w:p w14:paraId="5045BA24">
            <w:pPr>
              <w:jc w:val="center"/>
              <w:rPr>
                <w:rFonts w:hint="eastAsia" w:ascii="黑体" w:hAnsi="黑体" w:eastAsia="黑体" w:cs="黑体"/>
                <w:b w:val="0"/>
                <w:bCs/>
                <w:sz w:val="24"/>
              </w:rPr>
            </w:pPr>
            <w:r>
              <w:rPr>
                <w:rFonts w:hint="eastAsia" w:ascii="黑体" w:hAnsi="黑体" w:eastAsia="黑体" w:cs="黑体"/>
                <w:b w:val="0"/>
                <w:bCs/>
                <w:sz w:val="24"/>
                <w:lang w:eastAsia="zh-CN"/>
              </w:rPr>
              <w:t>主要</w:t>
            </w:r>
            <w:r>
              <w:rPr>
                <w:rFonts w:hint="eastAsia" w:ascii="黑体" w:hAnsi="黑体" w:eastAsia="黑体" w:cs="黑体"/>
                <w:b w:val="0"/>
                <w:bCs/>
                <w:sz w:val="24"/>
              </w:rPr>
              <w:t>指标</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tcPr>
          <w:p w14:paraId="011C01DE">
            <w:pPr>
              <w:jc w:val="center"/>
              <w:rPr>
                <w:rFonts w:hint="eastAsia" w:ascii="黑体" w:hAnsi="黑体" w:eastAsia="黑体" w:cs="黑体"/>
                <w:b w:val="0"/>
                <w:bCs/>
                <w:sz w:val="24"/>
              </w:rPr>
            </w:pPr>
            <w:r>
              <w:rPr>
                <w:rFonts w:hint="eastAsia" w:ascii="黑体" w:hAnsi="黑体" w:eastAsia="黑体" w:cs="黑体"/>
                <w:b w:val="0"/>
                <w:bCs/>
                <w:sz w:val="24"/>
              </w:rPr>
              <w:t>2020年</w:t>
            </w:r>
          </w:p>
        </w:tc>
        <w:tc>
          <w:tcPr>
            <w:tcW w:w="1215" w:type="dxa"/>
            <w:tcBorders>
              <w:top w:val="single" w:color="auto" w:sz="4" w:space="0"/>
              <w:left w:val="nil"/>
              <w:bottom w:val="single" w:color="auto" w:sz="4" w:space="0"/>
              <w:right w:val="single" w:color="auto" w:sz="4" w:space="0"/>
            </w:tcBorders>
            <w:shd w:val="clear" w:color="auto" w:fill="FFFFFF" w:themeFill="background1"/>
            <w:vAlign w:val="center"/>
          </w:tcPr>
          <w:p w14:paraId="19047EE9">
            <w:pPr>
              <w:jc w:val="center"/>
              <w:rPr>
                <w:rFonts w:hint="eastAsia" w:ascii="黑体" w:hAnsi="黑体" w:eastAsia="黑体" w:cs="黑体"/>
                <w:b w:val="0"/>
                <w:bCs/>
                <w:sz w:val="24"/>
              </w:rPr>
            </w:pPr>
            <w:r>
              <w:rPr>
                <w:rFonts w:hint="eastAsia" w:ascii="黑体" w:hAnsi="黑体" w:eastAsia="黑体" w:cs="黑体"/>
                <w:b w:val="0"/>
                <w:bCs/>
                <w:sz w:val="24"/>
              </w:rPr>
              <w:t>2025年</w:t>
            </w:r>
          </w:p>
        </w:tc>
        <w:tc>
          <w:tcPr>
            <w:tcW w:w="939" w:type="dxa"/>
            <w:tcBorders>
              <w:top w:val="single" w:color="auto" w:sz="4" w:space="0"/>
              <w:left w:val="nil"/>
              <w:bottom w:val="single" w:color="auto" w:sz="4" w:space="0"/>
              <w:right w:val="single" w:color="auto" w:sz="4" w:space="0"/>
            </w:tcBorders>
            <w:shd w:val="clear" w:color="auto" w:fill="FFFFFF" w:themeFill="background1"/>
            <w:vAlign w:val="center"/>
          </w:tcPr>
          <w:p w14:paraId="5FDCD2D4">
            <w:pPr>
              <w:jc w:val="center"/>
              <w:rPr>
                <w:rFonts w:hint="eastAsia" w:ascii="黑体" w:hAnsi="黑体" w:eastAsia="黑体" w:cs="黑体"/>
                <w:b w:val="0"/>
                <w:bCs/>
                <w:sz w:val="24"/>
              </w:rPr>
            </w:pPr>
            <w:r>
              <w:rPr>
                <w:rFonts w:hint="eastAsia" w:ascii="黑体" w:hAnsi="黑体" w:eastAsia="黑体" w:cs="黑体"/>
                <w:b w:val="0"/>
                <w:bCs/>
                <w:sz w:val="24"/>
              </w:rPr>
              <w:t>指标</w:t>
            </w:r>
            <w:r>
              <w:rPr>
                <w:rFonts w:hint="eastAsia" w:ascii="黑体" w:hAnsi="黑体" w:eastAsia="黑体" w:cs="黑体"/>
                <w:b w:val="0"/>
                <w:bCs/>
                <w:sz w:val="24"/>
                <w:lang w:val="en-US" w:eastAsia="zh-CN"/>
              </w:rPr>
              <w:t xml:space="preserve">      </w:t>
            </w:r>
            <w:r>
              <w:rPr>
                <w:rFonts w:hint="eastAsia" w:ascii="黑体" w:hAnsi="黑体" w:eastAsia="黑体" w:cs="黑体"/>
                <w:b w:val="0"/>
                <w:bCs/>
                <w:sz w:val="24"/>
              </w:rPr>
              <w:t>属性</w:t>
            </w:r>
          </w:p>
        </w:tc>
      </w:tr>
      <w:tr w14:paraId="6BA7737F">
        <w:tblPrEx>
          <w:shd w:val="clear" w:color="auto" w:fill="FFFFFF" w:themeFill="background1"/>
          <w:tblCellMar>
            <w:top w:w="0" w:type="dxa"/>
            <w:left w:w="108" w:type="dxa"/>
            <w:bottom w:w="0" w:type="dxa"/>
            <w:right w:w="108" w:type="dxa"/>
          </w:tblCellMar>
        </w:tblPrEx>
        <w:trPr>
          <w:trHeight w:val="590" w:hRule="exact"/>
        </w:trPr>
        <w:tc>
          <w:tcPr>
            <w:tcW w:w="5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8F5A81">
            <w:pPr>
              <w:jc w:val="center"/>
              <w:rPr>
                <w:rFonts w:hint="eastAsia" w:ascii="宋体" w:hAnsi="宋体" w:eastAsia="宋体" w:cs="宋体"/>
                <w:b w:val="0"/>
                <w:bCs w:val="0"/>
                <w:sz w:val="24"/>
              </w:rPr>
            </w:pPr>
            <w:r>
              <w:rPr>
                <w:rFonts w:hint="eastAsia" w:ascii="宋体" w:hAnsi="宋体" w:eastAsia="宋体" w:cs="宋体"/>
                <w:b w:val="0"/>
                <w:bCs w:val="0"/>
                <w:sz w:val="24"/>
              </w:rPr>
              <w:t>1</w:t>
            </w:r>
          </w:p>
        </w:tc>
        <w:tc>
          <w:tcPr>
            <w:tcW w:w="4526" w:type="dxa"/>
            <w:tcBorders>
              <w:top w:val="nil"/>
              <w:left w:val="nil"/>
              <w:bottom w:val="single" w:color="auto" w:sz="4" w:space="0"/>
              <w:right w:val="single" w:color="auto" w:sz="4" w:space="0"/>
            </w:tcBorders>
            <w:shd w:val="clear" w:color="auto" w:fill="FFFFFF" w:themeFill="background1"/>
            <w:vAlign w:val="center"/>
          </w:tcPr>
          <w:p w14:paraId="3B5011DA">
            <w:pPr>
              <w:jc w:val="left"/>
              <w:rPr>
                <w:rFonts w:ascii="Times New Roman" w:hAnsi="Times New Roman" w:eastAsia="仿宋" w:cs="Times New Roman"/>
                <w:bCs/>
                <w:sz w:val="24"/>
              </w:rPr>
            </w:pPr>
            <w:r>
              <w:rPr>
                <w:rFonts w:ascii="Times New Roman" w:hAnsi="Times New Roman" w:eastAsia="仿宋" w:cs="Times New Roman"/>
                <w:bCs/>
                <w:sz w:val="24"/>
              </w:rPr>
              <w:t>粮食</w:t>
            </w:r>
            <w:r>
              <w:rPr>
                <w:rFonts w:hint="eastAsia" w:ascii="Times New Roman" w:hAnsi="Times New Roman" w:eastAsia="仿宋" w:cs="Times New Roman"/>
                <w:bCs/>
                <w:sz w:val="24"/>
                <w:lang w:eastAsia="zh-CN"/>
              </w:rPr>
              <w:t>综合生产能力</w:t>
            </w:r>
            <w:r>
              <w:rPr>
                <w:rFonts w:ascii="Times New Roman" w:hAnsi="Times New Roman" w:eastAsia="仿宋" w:cs="Times New Roman"/>
                <w:bCs/>
                <w:sz w:val="24"/>
              </w:rPr>
              <w:t>（万吨）</w:t>
            </w:r>
          </w:p>
        </w:tc>
        <w:tc>
          <w:tcPr>
            <w:tcW w:w="1170" w:type="dxa"/>
            <w:tcBorders>
              <w:top w:val="nil"/>
              <w:left w:val="nil"/>
              <w:bottom w:val="single" w:color="auto" w:sz="4" w:space="0"/>
              <w:right w:val="single" w:color="auto" w:sz="4" w:space="0"/>
            </w:tcBorders>
            <w:shd w:val="clear" w:color="auto" w:fill="FFFFFF" w:themeFill="background1"/>
            <w:vAlign w:val="center"/>
          </w:tcPr>
          <w:p w14:paraId="4E9CBB8F">
            <w:pPr>
              <w:jc w:val="center"/>
              <w:rPr>
                <w:rFonts w:hint="eastAsia" w:ascii="宋体" w:hAnsi="宋体" w:eastAsia="宋体" w:cs="宋体"/>
                <w:sz w:val="21"/>
                <w:szCs w:val="21"/>
              </w:rPr>
            </w:pPr>
            <w:r>
              <w:rPr>
                <w:rFonts w:hint="eastAsia" w:ascii="宋体" w:hAnsi="宋体" w:eastAsia="宋体" w:cs="宋体"/>
                <w:sz w:val="21"/>
                <w:szCs w:val="21"/>
              </w:rPr>
              <w:t>46.48</w:t>
            </w:r>
          </w:p>
        </w:tc>
        <w:tc>
          <w:tcPr>
            <w:tcW w:w="1215" w:type="dxa"/>
            <w:tcBorders>
              <w:top w:val="nil"/>
              <w:left w:val="nil"/>
              <w:bottom w:val="single" w:color="auto" w:sz="4" w:space="0"/>
              <w:right w:val="single" w:color="auto" w:sz="4" w:space="0"/>
            </w:tcBorders>
            <w:shd w:val="clear" w:color="auto" w:fill="FFFFFF" w:themeFill="background1"/>
            <w:vAlign w:val="center"/>
          </w:tcPr>
          <w:p w14:paraId="7CEDEC1E">
            <w:pPr>
              <w:jc w:val="center"/>
              <w:rPr>
                <w:rFonts w:hint="eastAsia" w:ascii="宋体" w:hAnsi="宋体" w:eastAsia="宋体" w:cs="宋体"/>
                <w:sz w:val="21"/>
                <w:szCs w:val="21"/>
              </w:rPr>
            </w:pPr>
            <w:r>
              <w:rPr>
                <w:rFonts w:hint="eastAsia" w:ascii="宋体" w:hAnsi="宋体" w:eastAsia="宋体" w:cs="宋体"/>
                <w:sz w:val="21"/>
                <w:szCs w:val="21"/>
              </w:rPr>
              <w:t>&gt;50</w:t>
            </w:r>
          </w:p>
        </w:tc>
        <w:tc>
          <w:tcPr>
            <w:tcW w:w="939" w:type="dxa"/>
            <w:tcBorders>
              <w:top w:val="nil"/>
              <w:left w:val="nil"/>
              <w:bottom w:val="single" w:color="auto" w:sz="4" w:space="0"/>
              <w:right w:val="single" w:color="auto" w:sz="4" w:space="0"/>
            </w:tcBorders>
            <w:shd w:val="clear" w:color="auto" w:fill="FFFFFF" w:themeFill="background1"/>
            <w:vAlign w:val="center"/>
          </w:tcPr>
          <w:p w14:paraId="2E5D1ABA">
            <w:pPr>
              <w:jc w:val="center"/>
              <w:rPr>
                <w:rFonts w:ascii="仿宋" w:hAnsi="仿宋" w:eastAsia="仿宋" w:cs="仿宋"/>
                <w:sz w:val="24"/>
              </w:rPr>
            </w:pPr>
            <w:r>
              <w:rPr>
                <w:rFonts w:hint="eastAsia" w:ascii="仿宋" w:hAnsi="仿宋" w:eastAsia="仿宋" w:cs="仿宋"/>
                <w:sz w:val="24"/>
              </w:rPr>
              <w:t>约束性</w:t>
            </w:r>
          </w:p>
        </w:tc>
      </w:tr>
      <w:tr w14:paraId="3B9F0744">
        <w:tblPrEx>
          <w:shd w:val="clear" w:color="auto" w:fill="FFFFFF" w:themeFill="background1"/>
          <w:tblCellMar>
            <w:top w:w="0" w:type="dxa"/>
            <w:left w:w="108" w:type="dxa"/>
            <w:bottom w:w="0" w:type="dxa"/>
            <w:right w:w="108" w:type="dxa"/>
          </w:tblCellMar>
        </w:tblPrEx>
        <w:trPr>
          <w:trHeight w:val="590" w:hRule="exact"/>
        </w:trPr>
        <w:tc>
          <w:tcPr>
            <w:tcW w:w="5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7E53CA">
            <w:pPr>
              <w:jc w:val="center"/>
              <w:rPr>
                <w:rFonts w:hint="eastAsia" w:ascii="宋体" w:hAnsi="宋体" w:eastAsia="宋体" w:cs="宋体"/>
                <w:b w:val="0"/>
                <w:bCs w:val="0"/>
                <w:sz w:val="24"/>
              </w:rPr>
            </w:pPr>
            <w:r>
              <w:rPr>
                <w:rFonts w:hint="eastAsia" w:ascii="宋体" w:hAnsi="宋体" w:eastAsia="宋体" w:cs="宋体"/>
                <w:b w:val="0"/>
                <w:bCs w:val="0"/>
                <w:sz w:val="24"/>
              </w:rPr>
              <w:t>2</w:t>
            </w:r>
          </w:p>
        </w:tc>
        <w:tc>
          <w:tcPr>
            <w:tcW w:w="4526" w:type="dxa"/>
            <w:tcBorders>
              <w:top w:val="nil"/>
              <w:left w:val="nil"/>
              <w:bottom w:val="single" w:color="auto" w:sz="4" w:space="0"/>
              <w:right w:val="single" w:color="auto" w:sz="4" w:space="0"/>
            </w:tcBorders>
            <w:shd w:val="clear" w:color="auto" w:fill="FFFFFF" w:themeFill="background1"/>
            <w:vAlign w:val="center"/>
          </w:tcPr>
          <w:p w14:paraId="69654A1F">
            <w:pPr>
              <w:jc w:val="left"/>
              <w:rPr>
                <w:rFonts w:ascii="Times New Roman" w:hAnsi="Times New Roman" w:eastAsia="仿宋" w:cs="Times New Roman"/>
                <w:sz w:val="24"/>
              </w:rPr>
            </w:pPr>
            <w:r>
              <w:rPr>
                <w:rFonts w:ascii="Times New Roman" w:hAnsi="Times New Roman" w:eastAsia="仿宋" w:cs="Times New Roman"/>
                <w:sz w:val="24"/>
              </w:rPr>
              <w:t>肉类总产量（万吨）</w:t>
            </w:r>
          </w:p>
        </w:tc>
        <w:tc>
          <w:tcPr>
            <w:tcW w:w="1170" w:type="dxa"/>
            <w:tcBorders>
              <w:top w:val="nil"/>
              <w:left w:val="nil"/>
              <w:bottom w:val="single" w:color="auto" w:sz="4" w:space="0"/>
              <w:right w:val="single" w:color="auto" w:sz="4" w:space="0"/>
            </w:tcBorders>
            <w:shd w:val="clear" w:color="auto" w:fill="FFFFFF" w:themeFill="background1"/>
            <w:vAlign w:val="center"/>
          </w:tcPr>
          <w:p w14:paraId="07915856">
            <w:pPr>
              <w:jc w:val="center"/>
              <w:rPr>
                <w:rFonts w:hint="eastAsia" w:ascii="宋体" w:hAnsi="宋体" w:eastAsia="宋体" w:cs="宋体"/>
                <w:sz w:val="21"/>
                <w:szCs w:val="21"/>
              </w:rPr>
            </w:pPr>
            <w:r>
              <w:rPr>
                <w:rFonts w:hint="eastAsia" w:ascii="宋体" w:hAnsi="宋体" w:eastAsia="宋体" w:cs="宋体"/>
                <w:sz w:val="21"/>
                <w:szCs w:val="21"/>
              </w:rPr>
              <w:t>27.7</w:t>
            </w:r>
          </w:p>
        </w:tc>
        <w:tc>
          <w:tcPr>
            <w:tcW w:w="1215" w:type="dxa"/>
            <w:tcBorders>
              <w:top w:val="nil"/>
              <w:left w:val="nil"/>
              <w:bottom w:val="single" w:color="auto" w:sz="4" w:space="0"/>
              <w:right w:val="single" w:color="auto" w:sz="4" w:space="0"/>
            </w:tcBorders>
            <w:shd w:val="clear" w:color="auto" w:fill="FFFFFF" w:themeFill="background1"/>
            <w:vAlign w:val="center"/>
          </w:tcPr>
          <w:p w14:paraId="57AD1ECC">
            <w:pPr>
              <w:jc w:val="center"/>
              <w:rPr>
                <w:rFonts w:hint="eastAsia" w:ascii="宋体" w:hAnsi="宋体" w:eastAsia="宋体" w:cs="宋体"/>
                <w:sz w:val="21"/>
                <w:szCs w:val="21"/>
                <w:lang w:eastAsia="zh-CN"/>
              </w:rPr>
            </w:pPr>
            <w:r>
              <w:rPr>
                <w:rFonts w:hint="eastAsia" w:ascii="宋体" w:hAnsi="宋体" w:eastAsia="宋体" w:cs="宋体"/>
                <w:sz w:val="21"/>
                <w:szCs w:val="21"/>
              </w:rPr>
              <w:t>&gt;3</w:t>
            </w:r>
            <w:r>
              <w:rPr>
                <w:rFonts w:hint="eastAsia" w:ascii="宋体" w:hAnsi="宋体" w:eastAsia="宋体" w:cs="宋体"/>
                <w:sz w:val="21"/>
                <w:szCs w:val="21"/>
                <w:lang w:val="en-US" w:eastAsia="zh-CN"/>
              </w:rPr>
              <w:t>5</w:t>
            </w:r>
          </w:p>
        </w:tc>
        <w:tc>
          <w:tcPr>
            <w:tcW w:w="939" w:type="dxa"/>
            <w:tcBorders>
              <w:top w:val="nil"/>
              <w:left w:val="nil"/>
              <w:bottom w:val="single" w:color="auto" w:sz="4" w:space="0"/>
              <w:right w:val="single" w:color="auto" w:sz="4" w:space="0"/>
            </w:tcBorders>
            <w:shd w:val="clear" w:color="auto" w:fill="FFFFFF" w:themeFill="background1"/>
            <w:vAlign w:val="center"/>
          </w:tcPr>
          <w:p w14:paraId="02E590D2">
            <w:pPr>
              <w:jc w:val="center"/>
              <w:rPr>
                <w:rFonts w:ascii="仿宋" w:hAnsi="仿宋" w:eastAsia="仿宋" w:cs="仿宋"/>
                <w:sz w:val="24"/>
              </w:rPr>
            </w:pPr>
            <w:r>
              <w:rPr>
                <w:rFonts w:hint="eastAsia" w:ascii="仿宋" w:hAnsi="仿宋" w:eastAsia="仿宋" w:cs="仿宋"/>
                <w:sz w:val="24"/>
              </w:rPr>
              <w:t>预期性</w:t>
            </w:r>
          </w:p>
        </w:tc>
      </w:tr>
      <w:tr w14:paraId="3AD50118">
        <w:tblPrEx>
          <w:shd w:val="clear" w:color="auto" w:fill="FFFFFF" w:themeFill="background1"/>
          <w:tblCellMar>
            <w:top w:w="0" w:type="dxa"/>
            <w:left w:w="108" w:type="dxa"/>
            <w:bottom w:w="0" w:type="dxa"/>
            <w:right w:w="108" w:type="dxa"/>
          </w:tblCellMar>
        </w:tblPrEx>
        <w:trPr>
          <w:trHeight w:val="590" w:hRule="exact"/>
        </w:trPr>
        <w:tc>
          <w:tcPr>
            <w:tcW w:w="5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63AD86">
            <w:pPr>
              <w:jc w:val="center"/>
              <w:rPr>
                <w:rFonts w:hint="eastAsia" w:ascii="宋体" w:hAnsi="宋体" w:eastAsia="宋体" w:cs="宋体"/>
                <w:b w:val="0"/>
                <w:bCs w:val="0"/>
                <w:sz w:val="24"/>
              </w:rPr>
            </w:pPr>
            <w:r>
              <w:rPr>
                <w:rFonts w:hint="eastAsia" w:ascii="宋体" w:hAnsi="宋体" w:eastAsia="宋体" w:cs="宋体"/>
                <w:b w:val="0"/>
                <w:bCs w:val="0"/>
                <w:sz w:val="24"/>
              </w:rPr>
              <w:t>3</w:t>
            </w:r>
          </w:p>
        </w:tc>
        <w:tc>
          <w:tcPr>
            <w:tcW w:w="4526" w:type="dxa"/>
            <w:tcBorders>
              <w:top w:val="nil"/>
              <w:left w:val="nil"/>
              <w:bottom w:val="single" w:color="auto" w:sz="4" w:space="0"/>
              <w:right w:val="single" w:color="auto" w:sz="4" w:space="0"/>
            </w:tcBorders>
            <w:shd w:val="clear" w:color="auto" w:fill="FFFFFF" w:themeFill="background1"/>
            <w:vAlign w:val="center"/>
          </w:tcPr>
          <w:p w14:paraId="24A3F05E">
            <w:pPr>
              <w:jc w:val="left"/>
              <w:rPr>
                <w:rFonts w:ascii="Times New Roman" w:hAnsi="Times New Roman" w:eastAsia="仿宋" w:cs="Times New Roman"/>
                <w:sz w:val="24"/>
              </w:rPr>
            </w:pPr>
            <w:r>
              <w:rPr>
                <w:rFonts w:hint="eastAsia" w:ascii="Times New Roman" w:hAnsi="Times New Roman" w:eastAsia="仿宋" w:cs="Times New Roman"/>
                <w:sz w:val="24"/>
                <w:lang w:eastAsia="zh-CN"/>
              </w:rPr>
              <w:t>农牧业</w:t>
            </w:r>
            <w:r>
              <w:rPr>
                <w:rFonts w:hint="eastAsia" w:ascii="Times New Roman" w:hAnsi="Times New Roman" w:eastAsia="仿宋" w:cs="Times New Roman"/>
                <w:sz w:val="24"/>
              </w:rPr>
              <w:t>科技进步贡献率（%）</w:t>
            </w:r>
          </w:p>
        </w:tc>
        <w:tc>
          <w:tcPr>
            <w:tcW w:w="1170" w:type="dxa"/>
            <w:tcBorders>
              <w:top w:val="nil"/>
              <w:left w:val="nil"/>
              <w:bottom w:val="single" w:color="auto" w:sz="4" w:space="0"/>
              <w:right w:val="single" w:color="auto" w:sz="4" w:space="0"/>
            </w:tcBorders>
            <w:shd w:val="clear" w:color="auto" w:fill="FFFFFF" w:themeFill="background1"/>
            <w:vAlign w:val="center"/>
          </w:tcPr>
          <w:p w14:paraId="6169FC0B">
            <w:pPr>
              <w:jc w:val="center"/>
              <w:rPr>
                <w:rFonts w:hint="eastAsia" w:ascii="宋体" w:hAnsi="宋体" w:eastAsia="宋体" w:cs="宋体"/>
                <w:sz w:val="21"/>
                <w:szCs w:val="21"/>
              </w:rPr>
            </w:pPr>
            <w:r>
              <w:rPr>
                <w:rFonts w:hint="eastAsia" w:ascii="宋体" w:hAnsi="宋体" w:eastAsia="宋体" w:cs="宋体"/>
                <w:sz w:val="21"/>
                <w:szCs w:val="21"/>
              </w:rPr>
              <w:t>49.13</w:t>
            </w:r>
          </w:p>
        </w:tc>
        <w:tc>
          <w:tcPr>
            <w:tcW w:w="1215" w:type="dxa"/>
            <w:tcBorders>
              <w:top w:val="nil"/>
              <w:left w:val="nil"/>
              <w:bottom w:val="single" w:color="auto" w:sz="4" w:space="0"/>
              <w:right w:val="single" w:color="auto" w:sz="4" w:space="0"/>
            </w:tcBorders>
            <w:shd w:val="clear" w:color="auto" w:fill="FFFFFF" w:themeFill="background1"/>
            <w:vAlign w:val="center"/>
          </w:tcPr>
          <w:p w14:paraId="1A762B6E">
            <w:pPr>
              <w:jc w:val="center"/>
              <w:rPr>
                <w:rFonts w:hint="eastAsia" w:ascii="宋体" w:hAnsi="宋体" w:eastAsia="宋体" w:cs="宋体"/>
                <w:sz w:val="21"/>
                <w:szCs w:val="21"/>
              </w:rPr>
            </w:pPr>
            <w:r>
              <w:rPr>
                <w:rFonts w:hint="eastAsia" w:ascii="宋体" w:hAnsi="宋体" w:eastAsia="宋体" w:cs="宋体"/>
                <w:sz w:val="21"/>
                <w:szCs w:val="21"/>
              </w:rPr>
              <w:t>55</w:t>
            </w:r>
          </w:p>
        </w:tc>
        <w:tc>
          <w:tcPr>
            <w:tcW w:w="939" w:type="dxa"/>
            <w:tcBorders>
              <w:top w:val="nil"/>
              <w:left w:val="nil"/>
              <w:bottom w:val="single" w:color="auto" w:sz="4" w:space="0"/>
              <w:right w:val="single" w:color="auto" w:sz="4" w:space="0"/>
            </w:tcBorders>
            <w:shd w:val="clear" w:color="auto" w:fill="FFFFFF" w:themeFill="background1"/>
            <w:vAlign w:val="center"/>
          </w:tcPr>
          <w:p w14:paraId="746E9238">
            <w:pPr>
              <w:jc w:val="center"/>
              <w:rPr>
                <w:rFonts w:ascii="仿宋" w:hAnsi="仿宋" w:eastAsia="仿宋" w:cs="仿宋"/>
                <w:sz w:val="24"/>
              </w:rPr>
            </w:pPr>
            <w:r>
              <w:rPr>
                <w:rFonts w:hint="eastAsia" w:ascii="仿宋" w:hAnsi="仿宋" w:eastAsia="仿宋" w:cs="仿宋"/>
                <w:sz w:val="24"/>
              </w:rPr>
              <w:t>预期性</w:t>
            </w:r>
          </w:p>
        </w:tc>
      </w:tr>
      <w:tr w14:paraId="1CE5BF9E">
        <w:tblPrEx>
          <w:shd w:val="clear" w:color="auto" w:fill="FFFFFF" w:themeFill="background1"/>
          <w:tblCellMar>
            <w:top w:w="0" w:type="dxa"/>
            <w:left w:w="108" w:type="dxa"/>
            <w:bottom w:w="0" w:type="dxa"/>
            <w:right w:w="108" w:type="dxa"/>
          </w:tblCellMar>
        </w:tblPrEx>
        <w:trPr>
          <w:trHeight w:val="590" w:hRule="exact"/>
        </w:trPr>
        <w:tc>
          <w:tcPr>
            <w:tcW w:w="5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9C32968">
            <w:pPr>
              <w:jc w:val="center"/>
              <w:rPr>
                <w:rFonts w:hint="eastAsia" w:ascii="宋体" w:hAnsi="宋体" w:eastAsia="宋体" w:cs="宋体"/>
                <w:b w:val="0"/>
                <w:bCs w:val="0"/>
                <w:sz w:val="24"/>
              </w:rPr>
            </w:pPr>
            <w:r>
              <w:rPr>
                <w:rFonts w:hint="eastAsia" w:ascii="宋体" w:hAnsi="宋体" w:eastAsia="宋体" w:cs="宋体"/>
                <w:b w:val="0"/>
                <w:bCs w:val="0"/>
                <w:sz w:val="24"/>
              </w:rPr>
              <w:t>4</w:t>
            </w:r>
          </w:p>
        </w:tc>
        <w:tc>
          <w:tcPr>
            <w:tcW w:w="4526" w:type="dxa"/>
            <w:tcBorders>
              <w:top w:val="nil"/>
              <w:left w:val="nil"/>
              <w:bottom w:val="single" w:color="auto" w:sz="4" w:space="0"/>
              <w:right w:val="single" w:color="auto" w:sz="4" w:space="0"/>
            </w:tcBorders>
            <w:shd w:val="clear" w:color="auto" w:fill="FFFFFF" w:themeFill="background1"/>
            <w:vAlign w:val="center"/>
          </w:tcPr>
          <w:p w14:paraId="2AC80C31">
            <w:pPr>
              <w:jc w:val="left"/>
              <w:rPr>
                <w:rFonts w:ascii="Times New Roman" w:hAnsi="Times New Roman" w:eastAsia="仿宋" w:cs="Times New Roman"/>
                <w:sz w:val="24"/>
              </w:rPr>
            </w:pPr>
            <w:r>
              <w:rPr>
                <w:rFonts w:hint="eastAsia" w:ascii="Times New Roman" w:hAnsi="Times New Roman" w:eastAsia="仿宋" w:cs="Times New Roman"/>
                <w:sz w:val="24"/>
              </w:rPr>
              <w:t>高标准农田面积（万亩）</w:t>
            </w:r>
          </w:p>
        </w:tc>
        <w:tc>
          <w:tcPr>
            <w:tcW w:w="1170" w:type="dxa"/>
            <w:tcBorders>
              <w:top w:val="nil"/>
              <w:left w:val="nil"/>
              <w:bottom w:val="single" w:color="auto" w:sz="4" w:space="0"/>
              <w:right w:val="single" w:color="auto" w:sz="4" w:space="0"/>
            </w:tcBorders>
            <w:shd w:val="clear" w:color="auto" w:fill="FFFFFF" w:themeFill="background1"/>
            <w:vAlign w:val="center"/>
          </w:tcPr>
          <w:p w14:paraId="4DF97FAF">
            <w:pPr>
              <w:jc w:val="center"/>
              <w:rPr>
                <w:rFonts w:hint="eastAsia" w:ascii="宋体" w:hAnsi="宋体" w:eastAsia="宋体" w:cs="宋体"/>
                <w:sz w:val="21"/>
                <w:szCs w:val="21"/>
              </w:rPr>
            </w:pPr>
            <w:r>
              <w:rPr>
                <w:rFonts w:hint="eastAsia" w:ascii="宋体" w:hAnsi="宋体" w:eastAsia="宋体" w:cs="宋体"/>
                <w:sz w:val="21"/>
                <w:szCs w:val="21"/>
              </w:rPr>
              <w:t>53</w:t>
            </w:r>
          </w:p>
        </w:tc>
        <w:tc>
          <w:tcPr>
            <w:tcW w:w="1215" w:type="dxa"/>
            <w:tcBorders>
              <w:top w:val="nil"/>
              <w:left w:val="nil"/>
              <w:bottom w:val="single" w:color="auto" w:sz="4" w:space="0"/>
              <w:right w:val="single" w:color="auto" w:sz="4" w:space="0"/>
            </w:tcBorders>
            <w:shd w:val="clear" w:color="auto" w:fill="FFFFFF" w:themeFill="background1"/>
            <w:vAlign w:val="center"/>
          </w:tcPr>
          <w:p w14:paraId="3E47403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75</w:t>
            </w:r>
          </w:p>
        </w:tc>
        <w:tc>
          <w:tcPr>
            <w:tcW w:w="939" w:type="dxa"/>
            <w:tcBorders>
              <w:top w:val="nil"/>
              <w:left w:val="nil"/>
              <w:bottom w:val="single" w:color="auto" w:sz="4" w:space="0"/>
              <w:right w:val="single" w:color="auto" w:sz="4" w:space="0"/>
            </w:tcBorders>
            <w:shd w:val="clear" w:color="auto" w:fill="FFFFFF" w:themeFill="background1"/>
            <w:vAlign w:val="center"/>
          </w:tcPr>
          <w:p w14:paraId="4A338495">
            <w:pPr>
              <w:jc w:val="center"/>
              <w:rPr>
                <w:rFonts w:ascii="仿宋" w:hAnsi="仿宋" w:eastAsia="仿宋" w:cs="仿宋"/>
                <w:sz w:val="24"/>
              </w:rPr>
            </w:pPr>
            <w:r>
              <w:rPr>
                <w:rFonts w:hint="eastAsia" w:ascii="仿宋" w:hAnsi="仿宋" w:eastAsia="仿宋" w:cs="仿宋"/>
                <w:color w:val="auto"/>
                <w:sz w:val="24"/>
              </w:rPr>
              <w:t>预期性</w:t>
            </w:r>
          </w:p>
        </w:tc>
      </w:tr>
      <w:tr w14:paraId="1C0D8857">
        <w:tblPrEx>
          <w:shd w:val="clear" w:color="auto" w:fill="FFFFFF" w:themeFill="background1"/>
          <w:tblCellMar>
            <w:top w:w="0" w:type="dxa"/>
            <w:left w:w="108" w:type="dxa"/>
            <w:bottom w:w="0" w:type="dxa"/>
            <w:right w:w="108" w:type="dxa"/>
          </w:tblCellMar>
        </w:tblPrEx>
        <w:trPr>
          <w:trHeight w:val="590" w:hRule="exact"/>
        </w:trPr>
        <w:tc>
          <w:tcPr>
            <w:tcW w:w="5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7D02B44">
            <w:pPr>
              <w:jc w:val="center"/>
              <w:rPr>
                <w:rFonts w:hint="eastAsia" w:ascii="宋体" w:hAnsi="宋体" w:eastAsia="宋体" w:cs="宋体"/>
                <w:b w:val="0"/>
                <w:bCs w:val="0"/>
                <w:sz w:val="24"/>
              </w:rPr>
            </w:pPr>
            <w:r>
              <w:rPr>
                <w:rFonts w:hint="eastAsia" w:ascii="宋体" w:hAnsi="宋体" w:eastAsia="宋体" w:cs="宋体"/>
                <w:b w:val="0"/>
                <w:bCs w:val="0"/>
                <w:sz w:val="24"/>
              </w:rPr>
              <w:t>5</w:t>
            </w:r>
          </w:p>
        </w:tc>
        <w:tc>
          <w:tcPr>
            <w:tcW w:w="4526" w:type="dxa"/>
            <w:tcBorders>
              <w:top w:val="nil"/>
              <w:left w:val="nil"/>
              <w:bottom w:val="single" w:color="auto" w:sz="4" w:space="0"/>
              <w:right w:val="single" w:color="auto" w:sz="4" w:space="0"/>
            </w:tcBorders>
            <w:shd w:val="clear" w:color="auto" w:fill="FFFFFF" w:themeFill="background1"/>
            <w:vAlign w:val="center"/>
          </w:tcPr>
          <w:p w14:paraId="186AC548">
            <w:pPr>
              <w:jc w:val="left"/>
              <w:rPr>
                <w:rFonts w:ascii="Times New Roman" w:hAnsi="Times New Roman" w:eastAsia="仿宋" w:cs="Times New Roman"/>
                <w:sz w:val="24"/>
              </w:rPr>
            </w:pPr>
            <w:r>
              <w:rPr>
                <w:rFonts w:hint="eastAsia" w:ascii="Times New Roman" w:hAnsi="Times New Roman" w:eastAsia="仿宋" w:cs="Times New Roman"/>
                <w:sz w:val="24"/>
              </w:rPr>
              <w:t>畜禽粪污</w:t>
            </w:r>
            <w:r>
              <w:rPr>
                <w:rFonts w:hint="eastAsia" w:ascii="Times New Roman" w:hAnsi="Times New Roman" w:eastAsia="仿宋" w:cs="Times New Roman"/>
                <w:sz w:val="24"/>
                <w:lang w:eastAsia="zh-CN"/>
              </w:rPr>
              <w:t>综合</w:t>
            </w:r>
            <w:r>
              <w:rPr>
                <w:rFonts w:hint="eastAsia" w:ascii="Times New Roman" w:hAnsi="Times New Roman" w:eastAsia="仿宋" w:cs="Times New Roman"/>
                <w:sz w:val="24"/>
              </w:rPr>
              <w:t>利用率（%）</w:t>
            </w:r>
          </w:p>
        </w:tc>
        <w:tc>
          <w:tcPr>
            <w:tcW w:w="1170" w:type="dxa"/>
            <w:tcBorders>
              <w:top w:val="nil"/>
              <w:left w:val="nil"/>
              <w:bottom w:val="single" w:color="auto" w:sz="4" w:space="0"/>
              <w:right w:val="single" w:color="auto" w:sz="4" w:space="0"/>
            </w:tcBorders>
            <w:shd w:val="clear" w:color="auto" w:fill="FFFFFF" w:themeFill="background1"/>
            <w:vAlign w:val="center"/>
          </w:tcPr>
          <w:p w14:paraId="18C5F7EC">
            <w:pPr>
              <w:jc w:val="center"/>
              <w:rPr>
                <w:rFonts w:hint="eastAsia" w:ascii="宋体" w:hAnsi="宋体" w:eastAsia="宋体" w:cs="宋体"/>
                <w:sz w:val="21"/>
                <w:szCs w:val="21"/>
              </w:rPr>
            </w:pPr>
            <w:r>
              <w:rPr>
                <w:rFonts w:hint="eastAsia" w:ascii="宋体" w:hAnsi="宋体" w:eastAsia="宋体" w:cs="宋体"/>
                <w:sz w:val="21"/>
                <w:szCs w:val="21"/>
              </w:rPr>
              <w:t>81</w:t>
            </w:r>
          </w:p>
        </w:tc>
        <w:tc>
          <w:tcPr>
            <w:tcW w:w="1215" w:type="dxa"/>
            <w:tcBorders>
              <w:top w:val="nil"/>
              <w:left w:val="nil"/>
              <w:bottom w:val="single" w:color="auto" w:sz="4" w:space="0"/>
              <w:right w:val="single" w:color="auto" w:sz="4" w:space="0"/>
            </w:tcBorders>
            <w:shd w:val="clear" w:color="auto" w:fill="FFFFFF" w:themeFill="background1"/>
            <w:vAlign w:val="center"/>
          </w:tcPr>
          <w:p w14:paraId="0154253A">
            <w:pPr>
              <w:jc w:val="center"/>
              <w:rPr>
                <w:rFonts w:hint="eastAsia" w:ascii="宋体" w:hAnsi="宋体" w:eastAsia="宋体" w:cs="宋体"/>
                <w:sz w:val="21"/>
                <w:szCs w:val="21"/>
              </w:rPr>
            </w:pPr>
            <w:r>
              <w:rPr>
                <w:rFonts w:hint="eastAsia" w:ascii="宋体" w:hAnsi="宋体" w:eastAsia="宋体" w:cs="宋体"/>
                <w:sz w:val="21"/>
                <w:szCs w:val="21"/>
              </w:rPr>
              <w:t>&gt;83</w:t>
            </w:r>
          </w:p>
        </w:tc>
        <w:tc>
          <w:tcPr>
            <w:tcW w:w="939" w:type="dxa"/>
            <w:tcBorders>
              <w:top w:val="nil"/>
              <w:left w:val="nil"/>
              <w:bottom w:val="single" w:color="auto" w:sz="4" w:space="0"/>
              <w:right w:val="single" w:color="auto" w:sz="4" w:space="0"/>
            </w:tcBorders>
            <w:shd w:val="clear" w:color="auto" w:fill="FFFFFF" w:themeFill="background1"/>
            <w:vAlign w:val="center"/>
          </w:tcPr>
          <w:p w14:paraId="0656C249">
            <w:pPr>
              <w:jc w:val="center"/>
              <w:rPr>
                <w:rFonts w:ascii="Times New Roman" w:hAnsi="Times New Roman" w:eastAsia="仿宋" w:cs="Times New Roman"/>
                <w:sz w:val="24"/>
              </w:rPr>
            </w:pPr>
            <w:r>
              <w:rPr>
                <w:rFonts w:hint="eastAsia" w:ascii="Times New Roman" w:hAnsi="Times New Roman" w:eastAsia="仿宋" w:cs="Times New Roman"/>
                <w:sz w:val="24"/>
              </w:rPr>
              <w:t>约束性</w:t>
            </w:r>
          </w:p>
        </w:tc>
      </w:tr>
      <w:tr w14:paraId="3F989C46">
        <w:tblPrEx>
          <w:shd w:val="clear" w:color="auto" w:fill="FFFFFF" w:themeFill="background1"/>
          <w:tblCellMar>
            <w:top w:w="0" w:type="dxa"/>
            <w:left w:w="108" w:type="dxa"/>
            <w:bottom w:w="0" w:type="dxa"/>
            <w:right w:w="108" w:type="dxa"/>
          </w:tblCellMar>
        </w:tblPrEx>
        <w:trPr>
          <w:trHeight w:val="590" w:hRule="exact"/>
        </w:trPr>
        <w:tc>
          <w:tcPr>
            <w:tcW w:w="5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14DF4E">
            <w:pPr>
              <w:jc w:val="center"/>
              <w:rPr>
                <w:rFonts w:hint="eastAsia" w:ascii="宋体" w:hAnsi="宋体" w:eastAsia="宋体" w:cs="宋体"/>
                <w:b w:val="0"/>
                <w:bCs w:val="0"/>
                <w:sz w:val="24"/>
              </w:rPr>
            </w:pPr>
            <w:r>
              <w:rPr>
                <w:rFonts w:hint="eastAsia" w:ascii="宋体" w:hAnsi="宋体" w:eastAsia="宋体" w:cs="宋体"/>
                <w:b w:val="0"/>
                <w:bCs w:val="0"/>
                <w:sz w:val="24"/>
              </w:rPr>
              <w:t>6</w:t>
            </w:r>
          </w:p>
        </w:tc>
        <w:tc>
          <w:tcPr>
            <w:tcW w:w="4526" w:type="dxa"/>
            <w:tcBorders>
              <w:top w:val="nil"/>
              <w:left w:val="nil"/>
              <w:bottom w:val="single" w:color="auto" w:sz="4" w:space="0"/>
              <w:right w:val="single" w:color="auto" w:sz="4" w:space="0"/>
            </w:tcBorders>
            <w:shd w:val="clear" w:color="auto" w:fill="FFFFFF" w:themeFill="background1"/>
            <w:vAlign w:val="center"/>
          </w:tcPr>
          <w:p w14:paraId="6F7AD1E1">
            <w:pPr>
              <w:jc w:val="left"/>
              <w:rPr>
                <w:rFonts w:ascii="Times New Roman" w:hAnsi="Times New Roman" w:eastAsia="仿宋" w:cs="Times New Roman"/>
                <w:bCs/>
                <w:sz w:val="24"/>
              </w:rPr>
            </w:pPr>
            <w:r>
              <w:rPr>
                <w:rFonts w:hint="eastAsia" w:ascii="Times New Roman" w:hAnsi="Times New Roman" w:eastAsia="仿宋" w:cs="Times New Roman"/>
                <w:bCs/>
                <w:sz w:val="24"/>
              </w:rPr>
              <w:t>农作物耕种收综合机械化率（%）</w:t>
            </w:r>
          </w:p>
        </w:tc>
        <w:tc>
          <w:tcPr>
            <w:tcW w:w="1170" w:type="dxa"/>
            <w:tcBorders>
              <w:top w:val="nil"/>
              <w:left w:val="nil"/>
              <w:bottom w:val="single" w:color="auto" w:sz="4" w:space="0"/>
              <w:right w:val="single" w:color="auto" w:sz="4" w:space="0"/>
            </w:tcBorders>
            <w:shd w:val="clear" w:color="auto" w:fill="FFFFFF" w:themeFill="background1"/>
            <w:vAlign w:val="center"/>
          </w:tcPr>
          <w:p w14:paraId="752BE093">
            <w:pPr>
              <w:jc w:val="center"/>
              <w:rPr>
                <w:rFonts w:hint="eastAsia" w:ascii="宋体" w:hAnsi="宋体" w:eastAsia="宋体" w:cs="宋体"/>
                <w:sz w:val="21"/>
                <w:szCs w:val="21"/>
              </w:rPr>
            </w:pPr>
            <w:r>
              <w:rPr>
                <w:rFonts w:hint="eastAsia" w:ascii="宋体" w:hAnsi="宋体" w:eastAsia="宋体" w:cs="宋体"/>
                <w:sz w:val="21"/>
                <w:szCs w:val="21"/>
              </w:rPr>
              <w:t>90</w:t>
            </w:r>
          </w:p>
        </w:tc>
        <w:tc>
          <w:tcPr>
            <w:tcW w:w="1215" w:type="dxa"/>
            <w:tcBorders>
              <w:top w:val="nil"/>
              <w:left w:val="nil"/>
              <w:bottom w:val="single" w:color="auto" w:sz="4" w:space="0"/>
              <w:right w:val="single" w:color="auto" w:sz="4" w:space="0"/>
            </w:tcBorders>
            <w:shd w:val="clear" w:color="auto" w:fill="FFFFFF" w:themeFill="background1"/>
            <w:vAlign w:val="center"/>
          </w:tcPr>
          <w:p w14:paraId="19CF7616">
            <w:pPr>
              <w:jc w:val="center"/>
              <w:rPr>
                <w:rFonts w:hint="eastAsia" w:ascii="宋体" w:hAnsi="宋体" w:eastAsia="宋体" w:cs="宋体"/>
                <w:sz w:val="21"/>
                <w:szCs w:val="21"/>
              </w:rPr>
            </w:pPr>
            <w:r>
              <w:rPr>
                <w:rFonts w:hint="eastAsia" w:ascii="宋体" w:hAnsi="宋体" w:eastAsia="宋体" w:cs="宋体"/>
                <w:sz w:val="21"/>
                <w:szCs w:val="21"/>
              </w:rPr>
              <w:t>92</w:t>
            </w:r>
          </w:p>
        </w:tc>
        <w:tc>
          <w:tcPr>
            <w:tcW w:w="939" w:type="dxa"/>
            <w:tcBorders>
              <w:top w:val="nil"/>
              <w:left w:val="nil"/>
              <w:bottom w:val="single" w:color="auto" w:sz="4" w:space="0"/>
              <w:right w:val="single" w:color="auto" w:sz="4" w:space="0"/>
            </w:tcBorders>
            <w:shd w:val="clear" w:color="auto" w:fill="FFFFFF" w:themeFill="background1"/>
            <w:vAlign w:val="center"/>
          </w:tcPr>
          <w:p w14:paraId="0963DE75">
            <w:pPr>
              <w:jc w:val="center"/>
              <w:rPr>
                <w:rFonts w:ascii="仿宋" w:hAnsi="仿宋" w:eastAsia="仿宋" w:cs="仿宋"/>
                <w:sz w:val="24"/>
              </w:rPr>
            </w:pPr>
            <w:r>
              <w:rPr>
                <w:rFonts w:hint="eastAsia" w:ascii="仿宋" w:hAnsi="仿宋" w:eastAsia="仿宋" w:cs="仿宋"/>
                <w:sz w:val="24"/>
              </w:rPr>
              <w:t>预期性</w:t>
            </w:r>
          </w:p>
        </w:tc>
      </w:tr>
      <w:tr w14:paraId="10DB6EF8">
        <w:tblPrEx>
          <w:shd w:val="clear" w:color="auto" w:fill="FFFFFF" w:themeFill="background1"/>
          <w:tblCellMar>
            <w:top w:w="0" w:type="dxa"/>
            <w:left w:w="108" w:type="dxa"/>
            <w:bottom w:w="0" w:type="dxa"/>
            <w:right w:w="108" w:type="dxa"/>
          </w:tblCellMar>
        </w:tblPrEx>
        <w:trPr>
          <w:trHeight w:val="590" w:hRule="exact"/>
        </w:trPr>
        <w:tc>
          <w:tcPr>
            <w:tcW w:w="5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E0A658">
            <w:pPr>
              <w:jc w:val="center"/>
              <w:rPr>
                <w:rFonts w:hint="eastAsia" w:ascii="宋体" w:hAnsi="宋体" w:eastAsia="宋体" w:cs="宋体"/>
                <w:b w:val="0"/>
                <w:bCs w:val="0"/>
                <w:sz w:val="24"/>
              </w:rPr>
            </w:pPr>
            <w:r>
              <w:rPr>
                <w:rFonts w:hint="eastAsia" w:ascii="宋体" w:hAnsi="宋体" w:eastAsia="宋体" w:cs="宋体"/>
                <w:b w:val="0"/>
                <w:bCs w:val="0"/>
                <w:sz w:val="24"/>
              </w:rPr>
              <w:t>7</w:t>
            </w:r>
          </w:p>
        </w:tc>
        <w:tc>
          <w:tcPr>
            <w:tcW w:w="4526" w:type="dxa"/>
            <w:tcBorders>
              <w:top w:val="single" w:color="auto" w:sz="4" w:space="0"/>
              <w:left w:val="nil"/>
              <w:bottom w:val="single" w:color="auto" w:sz="4" w:space="0"/>
              <w:right w:val="single" w:color="auto" w:sz="4" w:space="0"/>
            </w:tcBorders>
            <w:shd w:val="clear" w:color="auto" w:fill="FFFFFF" w:themeFill="background1"/>
            <w:vAlign w:val="center"/>
          </w:tcPr>
          <w:p w14:paraId="4716CEF3">
            <w:pPr>
              <w:jc w:val="left"/>
              <w:rPr>
                <w:rFonts w:ascii="Times New Roman" w:hAnsi="Times New Roman" w:eastAsia="仿宋" w:cs="Times New Roman"/>
                <w:bCs/>
                <w:sz w:val="24"/>
              </w:rPr>
            </w:pPr>
            <w:r>
              <w:rPr>
                <w:rFonts w:hint="eastAsia" w:ascii="Times New Roman" w:hAnsi="Times New Roman" w:eastAsia="仿宋" w:cs="Times New Roman"/>
                <w:bCs/>
                <w:sz w:val="24"/>
              </w:rPr>
              <w:t>农畜产品质量安全例行监测合格率（%）</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tcPr>
          <w:p w14:paraId="4BEC3335">
            <w:pPr>
              <w:jc w:val="center"/>
              <w:rPr>
                <w:rFonts w:hint="eastAsia" w:ascii="宋体" w:hAnsi="宋体" w:eastAsia="宋体" w:cs="宋体"/>
                <w:sz w:val="21"/>
                <w:szCs w:val="21"/>
              </w:rPr>
            </w:pPr>
            <w:r>
              <w:rPr>
                <w:rFonts w:hint="eastAsia" w:ascii="宋体" w:hAnsi="宋体" w:eastAsia="宋体" w:cs="宋体"/>
                <w:sz w:val="21"/>
                <w:szCs w:val="21"/>
              </w:rPr>
              <w:t>98</w:t>
            </w:r>
          </w:p>
        </w:tc>
        <w:tc>
          <w:tcPr>
            <w:tcW w:w="1215" w:type="dxa"/>
            <w:tcBorders>
              <w:top w:val="single" w:color="auto" w:sz="4" w:space="0"/>
              <w:left w:val="nil"/>
              <w:bottom w:val="single" w:color="auto" w:sz="4" w:space="0"/>
              <w:right w:val="single" w:color="auto" w:sz="4" w:space="0"/>
            </w:tcBorders>
            <w:shd w:val="clear" w:color="auto" w:fill="FFFFFF" w:themeFill="background1"/>
            <w:vAlign w:val="center"/>
          </w:tcPr>
          <w:p w14:paraId="6C8684EF">
            <w:pPr>
              <w:jc w:val="center"/>
              <w:rPr>
                <w:rFonts w:hint="eastAsia" w:ascii="宋体" w:hAnsi="宋体" w:eastAsia="宋体" w:cs="宋体"/>
                <w:sz w:val="21"/>
                <w:szCs w:val="21"/>
              </w:rPr>
            </w:pPr>
            <w:r>
              <w:rPr>
                <w:rFonts w:hint="eastAsia" w:ascii="宋体" w:hAnsi="宋体" w:eastAsia="宋体" w:cs="宋体"/>
                <w:sz w:val="21"/>
                <w:szCs w:val="21"/>
              </w:rPr>
              <w:t>≧98</w:t>
            </w:r>
          </w:p>
        </w:tc>
        <w:tc>
          <w:tcPr>
            <w:tcW w:w="939" w:type="dxa"/>
            <w:tcBorders>
              <w:top w:val="single" w:color="auto" w:sz="4" w:space="0"/>
              <w:left w:val="nil"/>
              <w:bottom w:val="single" w:color="auto" w:sz="4" w:space="0"/>
              <w:right w:val="single" w:color="auto" w:sz="4" w:space="0"/>
            </w:tcBorders>
            <w:shd w:val="clear" w:color="auto" w:fill="FFFFFF" w:themeFill="background1"/>
            <w:vAlign w:val="center"/>
          </w:tcPr>
          <w:p w14:paraId="0F314294">
            <w:pPr>
              <w:jc w:val="center"/>
              <w:rPr>
                <w:rFonts w:ascii="仿宋" w:hAnsi="仿宋" w:eastAsia="仿宋" w:cs="仿宋"/>
                <w:sz w:val="24"/>
              </w:rPr>
            </w:pPr>
            <w:r>
              <w:rPr>
                <w:rFonts w:hint="eastAsia" w:ascii="仿宋" w:hAnsi="仿宋" w:eastAsia="仿宋" w:cs="仿宋"/>
                <w:sz w:val="24"/>
              </w:rPr>
              <w:t>预期性</w:t>
            </w:r>
          </w:p>
        </w:tc>
      </w:tr>
      <w:tr w14:paraId="2AA84714">
        <w:tblPrEx>
          <w:shd w:val="clear" w:color="auto" w:fill="FFFFFF" w:themeFill="background1"/>
          <w:tblCellMar>
            <w:top w:w="0" w:type="dxa"/>
            <w:left w:w="108" w:type="dxa"/>
            <w:bottom w:w="0" w:type="dxa"/>
            <w:right w:w="108" w:type="dxa"/>
          </w:tblCellMar>
        </w:tblPrEx>
        <w:trPr>
          <w:trHeight w:val="590" w:hRule="exact"/>
        </w:trPr>
        <w:tc>
          <w:tcPr>
            <w:tcW w:w="5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E5BFABA">
            <w:pPr>
              <w:jc w:val="center"/>
              <w:rPr>
                <w:rFonts w:hint="eastAsia" w:ascii="宋体" w:hAnsi="宋体" w:eastAsia="宋体" w:cs="宋体"/>
                <w:b w:val="0"/>
                <w:bCs w:val="0"/>
                <w:sz w:val="24"/>
              </w:rPr>
            </w:pPr>
            <w:r>
              <w:rPr>
                <w:rFonts w:hint="eastAsia" w:ascii="宋体" w:hAnsi="宋体" w:eastAsia="宋体" w:cs="宋体"/>
                <w:b w:val="0"/>
                <w:bCs w:val="0"/>
                <w:sz w:val="24"/>
              </w:rPr>
              <w:t>8</w:t>
            </w:r>
          </w:p>
        </w:tc>
        <w:tc>
          <w:tcPr>
            <w:tcW w:w="45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FABD69">
            <w:pPr>
              <w:jc w:val="left"/>
              <w:rPr>
                <w:rFonts w:ascii="Times New Roman" w:hAnsi="Times New Roman" w:eastAsia="仿宋" w:cs="Times New Roman"/>
                <w:bCs/>
                <w:sz w:val="24"/>
              </w:rPr>
            </w:pPr>
            <w:r>
              <w:rPr>
                <w:rFonts w:hint="eastAsia" w:ascii="Times New Roman" w:hAnsi="Times New Roman" w:eastAsia="仿宋" w:cs="Times New Roman"/>
                <w:bCs/>
                <w:sz w:val="24"/>
              </w:rPr>
              <w:t>农畜产品加工业与农牧业总产值比值</w:t>
            </w:r>
          </w:p>
        </w:tc>
        <w:tc>
          <w:tcPr>
            <w:tcW w:w="11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DF26A7">
            <w:pPr>
              <w:jc w:val="center"/>
              <w:rPr>
                <w:rFonts w:hint="eastAsia" w:ascii="宋体" w:hAnsi="宋体" w:eastAsia="宋体" w:cs="宋体"/>
                <w:sz w:val="21"/>
                <w:szCs w:val="21"/>
              </w:rPr>
            </w:pPr>
            <w:r>
              <w:rPr>
                <w:rFonts w:hint="eastAsia" w:ascii="宋体" w:hAnsi="宋体" w:eastAsia="宋体" w:cs="宋体"/>
                <w:sz w:val="21"/>
                <w:szCs w:val="21"/>
              </w:rPr>
              <w:t>1.3：1</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071F43">
            <w:pPr>
              <w:jc w:val="center"/>
              <w:rPr>
                <w:rFonts w:hint="eastAsia" w:ascii="宋体" w:hAnsi="宋体" w:eastAsia="宋体" w:cs="宋体"/>
                <w:sz w:val="21"/>
                <w:szCs w:val="21"/>
              </w:rPr>
            </w:pPr>
            <w:r>
              <w:rPr>
                <w:rFonts w:hint="eastAsia" w:ascii="宋体" w:hAnsi="宋体" w:eastAsia="宋体" w:cs="宋体"/>
                <w:sz w:val="21"/>
                <w:szCs w:val="21"/>
              </w:rPr>
              <w:t>1.8：1</w:t>
            </w:r>
          </w:p>
        </w:tc>
        <w:tc>
          <w:tcPr>
            <w:tcW w:w="93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4045C2">
            <w:pPr>
              <w:jc w:val="center"/>
              <w:rPr>
                <w:rFonts w:ascii="仿宋" w:hAnsi="仿宋" w:eastAsia="仿宋" w:cs="仿宋"/>
                <w:sz w:val="24"/>
              </w:rPr>
            </w:pPr>
            <w:r>
              <w:rPr>
                <w:rFonts w:hint="eastAsia" w:ascii="仿宋" w:hAnsi="仿宋" w:eastAsia="仿宋" w:cs="仿宋"/>
                <w:sz w:val="24"/>
              </w:rPr>
              <w:t>预期性</w:t>
            </w:r>
          </w:p>
        </w:tc>
      </w:tr>
      <w:tr w14:paraId="6E0F1507">
        <w:tblPrEx>
          <w:shd w:val="clear" w:color="auto" w:fill="FFFFFF" w:themeFill="background1"/>
          <w:tblCellMar>
            <w:top w:w="0" w:type="dxa"/>
            <w:left w:w="108" w:type="dxa"/>
            <w:bottom w:w="0" w:type="dxa"/>
            <w:right w:w="108" w:type="dxa"/>
          </w:tblCellMar>
        </w:tblPrEx>
        <w:trPr>
          <w:trHeight w:val="590" w:hRule="exact"/>
        </w:trPr>
        <w:tc>
          <w:tcPr>
            <w:tcW w:w="5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337F8D4">
            <w:pPr>
              <w:jc w:val="center"/>
              <w:rPr>
                <w:rFonts w:hint="eastAsia" w:ascii="宋体" w:hAnsi="宋体" w:eastAsia="宋体" w:cs="宋体"/>
                <w:b w:val="0"/>
                <w:bCs w:val="0"/>
                <w:sz w:val="24"/>
              </w:rPr>
            </w:pPr>
            <w:r>
              <w:rPr>
                <w:rFonts w:hint="eastAsia" w:ascii="宋体" w:hAnsi="宋体" w:eastAsia="宋体" w:cs="宋体"/>
                <w:b w:val="0"/>
                <w:bCs w:val="0"/>
                <w:sz w:val="24"/>
              </w:rPr>
              <w:t>9</w:t>
            </w:r>
          </w:p>
        </w:tc>
        <w:tc>
          <w:tcPr>
            <w:tcW w:w="4526" w:type="dxa"/>
            <w:tcBorders>
              <w:top w:val="nil"/>
              <w:left w:val="nil"/>
              <w:bottom w:val="single" w:color="auto" w:sz="4" w:space="0"/>
              <w:right w:val="single" w:color="auto" w:sz="4" w:space="0"/>
            </w:tcBorders>
            <w:shd w:val="clear" w:color="auto" w:fill="FFFFFF" w:themeFill="background1"/>
            <w:vAlign w:val="center"/>
          </w:tcPr>
          <w:p w14:paraId="7797B5F4">
            <w:pPr>
              <w:jc w:val="left"/>
              <w:rPr>
                <w:rFonts w:ascii="Times New Roman" w:hAnsi="Times New Roman" w:eastAsia="仿宋" w:cs="Times New Roman"/>
                <w:bCs/>
                <w:sz w:val="24"/>
              </w:rPr>
            </w:pPr>
            <w:r>
              <w:rPr>
                <w:rFonts w:hint="eastAsia" w:ascii="Times New Roman" w:hAnsi="Times New Roman" w:eastAsia="仿宋" w:cs="Times New Roman"/>
                <w:bCs/>
                <w:sz w:val="24"/>
              </w:rPr>
              <w:t>较大人口规模自然村通硬化路</w:t>
            </w:r>
            <w:r>
              <w:rPr>
                <w:rFonts w:hint="eastAsia" w:ascii="Times New Roman" w:hAnsi="Times New Roman" w:eastAsia="仿宋" w:cs="Times New Roman"/>
                <w:bCs/>
                <w:sz w:val="24"/>
                <w:lang w:eastAsia="zh-CN"/>
              </w:rPr>
              <w:t>比例</w:t>
            </w:r>
            <w:r>
              <w:rPr>
                <w:rFonts w:hint="eastAsia" w:ascii="Times New Roman" w:hAnsi="Times New Roman" w:eastAsia="仿宋" w:cs="Times New Roman"/>
                <w:bCs/>
                <w:sz w:val="24"/>
              </w:rPr>
              <w:t>（%）</w:t>
            </w:r>
          </w:p>
        </w:tc>
        <w:tc>
          <w:tcPr>
            <w:tcW w:w="1170" w:type="dxa"/>
            <w:tcBorders>
              <w:top w:val="nil"/>
              <w:left w:val="nil"/>
              <w:bottom w:val="single" w:color="auto" w:sz="4" w:space="0"/>
              <w:right w:val="single" w:color="auto" w:sz="4" w:space="0"/>
            </w:tcBorders>
            <w:shd w:val="clear" w:color="auto" w:fill="FFFFFF" w:themeFill="background1"/>
            <w:vAlign w:val="center"/>
          </w:tcPr>
          <w:p w14:paraId="32DCD6DF">
            <w:pPr>
              <w:jc w:val="center"/>
              <w:rPr>
                <w:rFonts w:hint="eastAsia" w:ascii="宋体" w:hAnsi="宋体" w:eastAsia="宋体" w:cs="宋体"/>
                <w:sz w:val="21"/>
                <w:szCs w:val="21"/>
              </w:rPr>
            </w:pPr>
            <w:r>
              <w:rPr>
                <w:rFonts w:hint="eastAsia" w:ascii="宋体" w:hAnsi="宋体" w:eastAsia="宋体" w:cs="宋体"/>
                <w:sz w:val="21"/>
                <w:szCs w:val="21"/>
              </w:rPr>
              <w:t>76</w:t>
            </w:r>
          </w:p>
        </w:tc>
        <w:tc>
          <w:tcPr>
            <w:tcW w:w="1215" w:type="dxa"/>
            <w:tcBorders>
              <w:top w:val="nil"/>
              <w:left w:val="nil"/>
              <w:bottom w:val="single" w:color="auto" w:sz="4" w:space="0"/>
              <w:right w:val="single" w:color="auto" w:sz="4" w:space="0"/>
            </w:tcBorders>
            <w:shd w:val="clear" w:color="auto" w:fill="FFFFFF" w:themeFill="background1"/>
            <w:vAlign w:val="center"/>
          </w:tcPr>
          <w:p w14:paraId="26C3A4D5">
            <w:pPr>
              <w:jc w:val="center"/>
              <w:rPr>
                <w:rFonts w:hint="eastAsia" w:ascii="宋体" w:hAnsi="宋体" w:eastAsia="宋体" w:cs="宋体"/>
                <w:sz w:val="21"/>
                <w:szCs w:val="21"/>
              </w:rPr>
            </w:pPr>
            <w:r>
              <w:rPr>
                <w:rFonts w:hint="eastAsia" w:ascii="宋体" w:hAnsi="宋体" w:eastAsia="宋体" w:cs="宋体"/>
                <w:sz w:val="21"/>
                <w:szCs w:val="21"/>
              </w:rPr>
              <w:t>&gt;85</w:t>
            </w:r>
          </w:p>
        </w:tc>
        <w:tc>
          <w:tcPr>
            <w:tcW w:w="939" w:type="dxa"/>
            <w:tcBorders>
              <w:top w:val="nil"/>
              <w:left w:val="nil"/>
              <w:bottom w:val="single" w:color="auto" w:sz="4" w:space="0"/>
              <w:right w:val="single" w:color="auto" w:sz="4" w:space="0"/>
            </w:tcBorders>
            <w:shd w:val="clear" w:color="auto" w:fill="FFFFFF" w:themeFill="background1"/>
            <w:vAlign w:val="center"/>
          </w:tcPr>
          <w:p w14:paraId="140FAA32">
            <w:pPr>
              <w:jc w:val="center"/>
              <w:rPr>
                <w:rFonts w:ascii="仿宋" w:hAnsi="仿宋" w:eastAsia="仿宋" w:cs="仿宋"/>
                <w:sz w:val="24"/>
              </w:rPr>
            </w:pPr>
            <w:r>
              <w:rPr>
                <w:rFonts w:hint="eastAsia" w:ascii="仿宋" w:hAnsi="仿宋" w:eastAsia="仿宋" w:cs="仿宋"/>
                <w:sz w:val="24"/>
              </w:rPr>
              <w:t>预期性</w:t>
            </w:r>
          </w:p>
        </w:tc>
      </w:tr>
      <w:tr w14:paraId="31D1DDB6">
        <w:tblPrEx>
          <w:shd w:val="clear" w:color="auto" w:fill="FFFFFF" w:themeFill="background1"/>
          <w:tblCellMar>
            <w:top w:w="0" w:type="dxa"/>
            <w:left w:w="108" w:type="dxa"/>
            <w:bottom w:w="0" w:type="dxa"/>
            <w:right w:w="108" w:type="dxa"/>
          </w:tblCellMar>
        </w:tblPrEx>
        <w:trPr>
          <w:trHeight w:val="590" w:hRule="exact"/>
        </w:trPr>
        <w:tc>
          <w:tcPr>
            <w:tcW w:w="5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97CCC3">
            <w:pPr>
              <w:jc w:val="center"/>
              <w:rPr>
                <w:rFonts w:hint="eastAsia" w:ascii="宋体" w:hAnsi="宋体" w:eastAsia="宋体" w:cs="宋体"/>
                <w:b w:val="0"/>
                <w:bCs w:val="0"/>
                <w:sz w:val="24"/>
              </w:rPr>
            </w:pPr>
            <w:r>
              <w:rPr>
                <w:rFonts w:hint="eastAsia" w:ascii="宋体" w:hAnsi="宋体" w:eastAsia="宋体" w:cs="宋体"/>
                <w:b w:val="0"/>
                <w:bCs w:val="0"/>
                <w:sz w:val="24"/>
              </w:rPr>
              <w:t>10</w:t>
            </w:r>
          </w:p>
        </w:tc>
        <w:tc>
          <w:tcPr>
            <w:tcW w:w="4526" w:type="dxa"/>
            <w:tcBorders>
              <w:top w:val="nil"/>
              <w:left w:val="nil"/>
              <w:bottom w:val="single" w:color="auto" w:sz="4" w:space="0"/>
              <w:right w:val="single" w:color="auto" w:sz="4" w:space="0"/>
            </w:tcBorders>
            <w:shd w:val="clear" w:color="auto" w:fill="FFFFFF" w:themeFill="background1"/>
            <w:vAlign w:val="center"/>
          </w:tcPr>
          <w:p w14:paraId="0B6A308E">
            <w:pPr>
              <w:widowControl/>
              <w:jc w:val="left"/>
              <w:textAlignment w:val="center"/>
              <w:rPr>
                <w:rFonts w:ascii="Times New Roman" w:hAnsi="Times New Roman" w:eastAsia="仿宋" w:cs="Times New Roman"/>
                <w:sz w:val="24"/>
              </w:rPr>
            </w:pPr>
            <w:r>
              <w:rPr>
                <w:rFonts w:hint="eastAsia" w:ascii="Times New Roman" w:hAnsi="Times New Roman" w:eastAsia="仿宋" w:cs="Times New Roman"/>
                <w:sz w:val="24"/>
              </w:rPr>
              <w:t>农村牧区自来水普及率（%）</w:t>
            </w:r>
          </w:p>
        </w:tc>
        <w:tc>
          <w:tcPr>
            <w:tcW w:w="1170" w:type="dxa"/>
            <w:tcBorders>
              <w:top w:val="nil"/>
              <w:left w:val="nil"/>
              <w:bottom w:val="single" w:color="auto" w:sz="4" w:space="0"/>
              <w:right w:val="single" w:color="auto" w:sz="4" w:space="0"/>
            </w:tcBorders>
            <w:shd w:val="clear" w:color="auto" w:fill="FFFFFF" w:themeFill="background1"/>
            <w:vAlign w:val="center"/>
          </w:tcPr>
          <w:p w14:paraId="7AF7EF28">
            <w:pPr>
              <w:jc w:val="center"/>
              <w:rPr>
                <w:rFonts w:hint="eastAsia" w:ascii="宋体" w:hAnsi="宋体" w:eastAsia="宋体" w:cs="宋体"/>
                <w:sz w:val="21"/>
                <w:szCs w:val="21"/>
              </w:rPr>
            </w:pPr>
            <w:r>
              <w:rPr>
                <w:rFonts w:hint="eastAsia" w:ascii="宋体" w:hAnsi="宋体" w:eastAsia="宋体" w:cs="宋体"/>
                <w:sz w:val="21"/>
                <w:szCs w:val="21"/>
              </w:rPr>
              <w:t>38</w:t>
            </w:r>
          </w:p>
        </w:tc>
        <w:tc>
          <w:tcPr>
            <w:tcW w:w="1215" w:type="dxa"/>
            <w:tcBorders>
              <w:top w:val="nil"/>
              <w:left w:val="nil"/>
              <w:bottom w:val="single" w:color="auto" w:sz="4" w:space="0"/>
              <w:right w:val="single" w:color="auto" w:sz="4" w:space="0"/>
            </w:tcBorders>
            <w:shd w:val="clear" w:color="auto" w:fill="FFFFFF" w:themeFill="background1"/>
            <w:vAlign w:val="center"/>
          </w:tcPr>
          <w:p w14:paraId="4232A4AE">
            <w:pPr>
              <w:jc w:val="center"/>
              <w:rPr>
                <w:rFonts w:hint="eastAsia" w:ascii="宋体" w:hAnsi="宋体" w:eastAsia="宋体" w:cs="宋体"/>
                <w:sz w:val="21"/>
                <w:szCs w:val="21"/>
              </w:rPr>
            </w:pPr>
            <w:r>
              <w:rPr>
                <w:rFonts w:hint="eastAsia" w:ascii="宋体" w:hAnsi="宋体" w:eastAsia="宋体" w:cs="宋体"/>
                <w:sz w:val="21"/>
                <w:szCs w:val="21"/>
              </w:rPr>
              <w:t>42.5</w:t>
            </w:r>
          </w:p>
        </w:tc>
        <w:tc>
          <w:tcPr>
            <w:tcW w:w="939" w:type="dxa"/>
            <w:tcBorders>
              <w:top w:val="nil"/>
              <w:left w:val="nil"/>
              <w:bottom w:val="single" w:color="auto" w:sz="4" w:space="0"/>
              <w:right w:val="single" w:color="auto" w:sz="4" w:space="0"/>
            </w:tcBorders>
            <w:shd w:val="clear" w:color="auto" w:fill="FFFFFF" w:themeFill="background1"/>
            <w:vAlign w:val="center"/>
          </w:tcPr>
          <w:p w14:paraId="279223E9">
            <w:pPr>
              <w:jc w:val="center"/>
              <w:rPr>
                <w:rFonts w:ascii="仿宋" w:hAnsi="仿宋" w:eastAsia="仿宋" w:cs="仿宋"/>
                <w:sz w:val="24"/>
              </w:rPr>
            </w:pPr>
            <w:r>
              <w:rPr>
                <w:rFonts w:hint="eastAsia" w:ascii="仿宋" w:hAnsi="仿宋" w:eastAsia="仿宋" w:cs="仿宋"/>
                <w:sz w:val="24"/>
              </w:rPr>
              <w:t>预期性</w:t>
            </w:r>
          </w:p>
        </w:tc>
      </w:tr>
      <w:tr w14:paraId="31435CAA">
        <w:tblPrEx>
          <w:shd w:val="clear" w:color="auto" w:fill="FFFFFF" w:themeFill="background1"/>
          <w:tblCellMar>
            <w:top w:w="0" w:type="dxa"/>
            <w:left w:w="108" w:type="dxa"/>
            <w:bottom w:w="0" w:type="dxa"/>
            <w:right w:w="108" w:type="dxa"/>
          </w:tblCellMar>
        </w:tblPrEx>
        <w:trPr>
          <w:trHeight w:val="646" w:hRule="exact"/>
        </w:trPr>
        <w:tc>
          <w:tcPr>
            <w:tcW w:w="5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F7B3CCC">
            <w:pPr>
              <w:jc w:val="center"/>
              <w:rPr>
                <w:rFonts w:hint="eastAsia" w:ascii="宋体" w:hAnsi="宋体" w:eastAsia="宋体" w:cs="宋体"/>
                <w:b w:val="0"/>
                <w:bCs w:val="0"/>
                <w:sz w:val="24"/>
              </w:rPr>
            </w:pPr>
            <w:r>
              <w:rPr>
                <w:rFonts w:hint="eastAsia" w:ascii="宋体" w:hAnsi="宋体" w:eastAsia="宋体" w:cs="宋体"/>
                <w:b w:val="0"/>
                <w:bCs w:val="0"/>
                <w:sz w:val="24"/>
              </w:rPr>
              <w:t>11</w:t>
            </w:r>
          </w:p>
        </w:tc>
        <w:tc>
          <w:tcPr>
            <w:tcW w:w="4526" w:type="dxa"/>
            <w:tcBorders>
              <w:top w:val="nil"/>
              <w:left w:val="nil"/>
              <w:bottom w:val="single" w:color="auto" w:sz="4" w:space="0"/>
              <w:right w:val="single" w:color="auto" w:sz="4" w:space="0"/>
            </w:tcBorders>
            <w:shd w:val="clear" w:color="auto" w:fill="FFFFFF" w:themeFill="background1"/>
            <w:vAlign w:val="center"/>
          </w:tcPr>
          <w:p w14:paraId="07161BD5">
            <w:pPr>
              <w:jc w:val="left"/>
              <w:rPr>
                <w:rFonts w:ascii="Times New Roman" w:hAnsi="Times New Roman" w:eastAsia="仿宋" w:cs="Times New Roman"/>
                <w:bCs/>
                <w:sz w:val="24"/>
              </w:rPr>
            </w:pPr>
            <w:r>
              <w:rPr>
                <w:rFonts w:hint="eastAsia" w:ascii="Times New Roman" w:hAnsi="Times New Roman" w:eastAsia="仿宋" w:cs="Times New Roman"/>
                <w:bCs/>
                <w:sz w:val="24"/>
              </w:rPr>
              <w:t>农村牧区义务教育学校专任教师本科以上学历比例（</w:t>
            </w:r>
            <w:r>
              <w:rPr>
                <w:rFonts w:ascii="Times New Roman" w:hAnsi="Times New Roman" w:eastAsia="仿宋" w:cs="Times New Roman"/>
                <w:bCs/>
                <w:sz w:val="24"/>
              </w:rPr>
              <w:t>%</w:t>
            </w:r>
            <w:r>
              <w:rPr>
                <w:rFonts w:hint="eastAsia" w:ascii="Times New Roman" w:hAnsi="Times New Roman" w:eastAsia="仿宋" w:cs="Times New Roman"/>
                <w:bCs/>
                <w:sz w:val="24"/>
              </w:rPr>
              <w:t>）</w:t>
            </w:r>
          </w:p>
        </w:tc>
        <w:tc>
          <w:tcPr>
            <w:tcW w:w="1170" w:type="dxa"/>
            <w:tcBorders>
              <w:top w:val="nil"/>
              <w:left w:val="nil"/>
              <w:bottom w:val="single" w:color="auto" w:sz="4" w:space="0"/>
              <w:right w:val="single" w:color="auto" w:sz="4" w:space="0"/>
            </w:tcBorders>
            <w:shd w:val="clear" w:color="auto" w:fill="FFFFFF" w:themeFill="background1"/>
            <w:vAlign w:val="center"/>
          </w:tcPr>
          <w:p w14:paraId="3C24C029">
            <w:pPr>
              <w:jc w:val="center"/>
              <w:rPr>
                <w:rFonts w:hint="eastAsia" w:ascii="宋体" w:hAnsi="宋体" w:eastAsia="宋体" w:cs="宋体"/>
                <w:sz w:val="21"/>
                <w:szCs w:val="21"/>
              </w:rPr>
            </w:pPr>
            <w:r>
              <w:rPr>
                <w:rFonts w:hint="eastAsia" w:ascii="宋体" w:hAnsi="宋体" w:eastAsia="宋体" w:cs="宋体"/>
                <w:sz w:val="21"/>
                <w:szCs w:val="21"/>
              </w:rPr>
              <w:t>62</w:t>
            </w:r>
          </w:p>
        </w:tc>
        <w:tc>
          <w:tcPr>
            <w:tcW w:w="1215" w:type="dxa"/>
            <w:tcBorders>
              <w:top w:val="nil"/>
              <w:left w:val="nil"/>
              <w:bottom w:val="single" w:color="auto" w:sz="4" w:space="0"/>
              <w:right w:val="single" w:color="auto" w:sz="4" w:space="0"/>
            </w:tcBorders>
            <w:shd w:val="clear" w:color="auto" w:fill="FFFFFF" w:themeFill="background1"/>
            <w:vAlign w:val="center"/>
          </w:tcPr>
          <w:p w14:paraId="046508A3">
            <w:pPr>
              <w:jc w:val="center"/>
              <w:rPr>
                <w:rFonts w:hint="eastAsia" w:ascii="宋体" w:hAnsi="宋体" w:eastAsia="宋体" w:cs="宋体"/>
                <w:sz w:val="21"/>
                <w:szCs w:val="21"/>
              </w:rPr>
            </w:pPr>
            <w:r>
              <w:rPr>
                <w:rFonts w:hint="eastAsia" w:ascii="宋体" w:hAnsi="宋体" w:eastAsia="宋体" w:cs="宋体"/>
                <w:sz w:val="21"/>
                <w:szCs w:val="21"/>
              </w:rPr>
              <w:t>≧70</w:t>
            </w:r>
          </w:p>
        </w:tc>
        <w:tc>
          <w:tcPr>
            <w:tcW w:w="939" w:type="dxa"/>
            <w:tcBorders>
              <w:top w:val="nil"/>
              <w:left w:val="nil"/>
              <w:bottom w:val="single" w:color="auto" w:sz="4" w:space="0"/>
              <w:right w:val="single" w:color="auto" w:sz="4" w:space="0"/>
            </w:tcBorders>
            <w:shd w:val="clear" w:color="auto" w:fill="FFFFFF" w:themeFill="background1"/>
            <w:vAlign w:val="center"/>
          </w:tcPr>
          <w:p w14:paraId="0579A62D">
            <w:pPr>
              <w:jc w:val="center"/>
              <w:rPr>
                <w:rFonts w:ascii="仿宋" w:hAnsi="仿宋" w:eastAsia="仿宋" w:cs="仿宋"/>
                <w:sz w:val="24"/>
              </w:rPr>
            </w:pPr>
            <w:r>
              <w:rPr>
                <w:rFonts w:hint="eastAsia" w:ascii="仿宋" w:hAnsi="仿宋" w:eastAsia="仿宋" w:cs="仿宋"/>
                <w:sz w:val="24"/>
              </w:rPr>
              <w:t>预期性</w:t>
            </w:r>
          </w:p>
        </w:tc>
      </w:tr>
      <w:tr w14:paraId="1D43C8D8">
        <w:tblPrEx>
          <w:shd w:val="clear" w:color="auto" w:fill="FFFFFF" w:themeFill="background1"/>
          <w:tblCellMar>
            <w:top w:w="0" w:type="dxa"/>
            <w:left w:w="108" w:type="dxa"/>
            <w:bottom w:w="0" w:type="dxa"/>
            <w:right w:w="108" w:type="dxa"/>
          </w:tblCellMar>
        </w:tblPrEx>
        <w:trPr>
          <w:trHeight w:val="590" w:hRule="exact"/>
        </w:trPr>
        <w:tc>
          <w:tcPr>
            <w:tcW w:w="5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DA1EFE">
            <w:pPr>
              <w:jc w:val="center"/>
              <w:rPr>
                <w:rFonts w:hint="eastAsia" w:ascii="宋体" w:hAnsi="宋体" w:eastAsia="宋体" w:cs="宋体"/>
                <w:b w:val="0"/>
                <w:bCs w:val="0"/>
                <w:sz w:val="24"/>
              </w:rPr>
            </w:pPr>
            <w:r>
              <w:rPr>
                <w:rFonts w:hint="eastAsia" w:ascii="宋体" w:hAnsi="宋体" w:eastAsia="宋体" w:cs="宋体"/>
                <w:b w:val="0"/>
                <w:bCs w:val="0"/>
                <w:sz w:val="24"/>
              </w:rPr>
              <w:t>12</w:t>
            </w:r>
          </w:p>
        </w:tc>
        <w:tc>
          <w:tcPr>
            <w:tcW w:w="4526" w:type="dxa"/>
            <w:tcBorders>
              <w:top w:val="nil"/>
              <w:left w:val="nil"/>
              <w:bottom w:val="single" w:color="auto" w:sz="4" w:space="0"/>
              <w:right w:val="single" w:color="auto" w:sz="4" w:space="0"/>
            </w:tcBorders>
            <w:shd w:val="clear" w:color="auto" w:fill="FFFFFF" w:themeFill="background1"/>
            <w:vAlign w:val="center"/>
          </w:tcPr>
          <w:p w14:paraId="4000449F">
            <w:pPr>
              <w:jc w:val="left"/>
              <w:rPr>
                <w:rFonts w:ascii="Times New Roman" w:hAnsi="Times New Roman" w:eastAsia="仿宋" w:cs="Times New Roman"/>
                <w:bCs/>
                <w:sz w:val="24"/>
              </w:rPr>
            </w:pPr>
            <w:r>
              <w:rPr>
                <w:rFonts w:hint="eastAsia" w:ascii="Times New Roman" w:hAnsi="Times New Roman" w:eastAsia="仿宋" w:cs="Times New Roman"/>
                <w:bCs/>
                <w:sz w:val="24"/>
                <w:lang w:eastAsia="zh-CN"/>
              </w:rPr>
              <w:t>乡村</w:t>
            </w:r>
            <w:r>
              <w:rPr>
                <w:rFonts w:hint="eastAsia" w:ascii="Times New Roman" w:hAnsi="Times New Roman" w:eastAsia="仿宋" w:cs="Times New Roman"/>
                <w:bCs/>
                <w:sz w:val="24"/>
              </w:rPr>
              <w:t>医生中执业（助理）医师比例（%）</w:t>
            </w:r>
          </w:p>
        </w:tc>
        <w:tc>
          <w:tcPr>
            <w:tcW w:w="1170" w:type="dxa"/>
            <w:tcBorders>
              <w:top w:val="nil"/>
              <w:left w:val="nil"/>
              <w:bottom w:val="single" w:color="auto" w:sz="4" w:space="0"/>
              <w:right w:val="single" w:color="auto" w:sz="4" w:space="0"/>
            </w:tcBorders>
            <w:shd w:val="clear" w:color="auto" w:fill="FFFFFF" w:themeFill="background1"/>
            <w:vAlign w:val="center"/>
          </w:tcPr>
          <w:p w14:paraId="3C7E6F27">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215" w:type="dxa"/>
            <w:tcBorders>
              <w:top w:val="nil"/>
              <w:left w:val="nil"/>
              <w:bottom w:val="single" w:color="auto" w:sz="4" w:space="0"/>
              <w:right w:val="single" w:color="auto" w:sz="4" w:space="0"/>
            </w:tcBorders>
            <w:shd w:val="clear" w:color="auto" w:fill="FFFFFF" w:themeFill="background1"/>
            <w:vAlign w:val="center"/>
          </w:tcPr>
          <w:p w14:paraId="03B77E29">
            <w:pPr>
              <w:jc w:val="center"/>
              <w:rPr>
                <w:rFonts w:hint="eastAsia" w:ascii="宋体" w:hAnsi="宋体" w:eastAsia="宋体" w:cs="宋体"/>
                <w:sz w:val="21"/>
                <w:szCs w:val="21"/>
              </w:rPr>
            </w:pPr>
            <w:r>
              <w:rPr>
                <w:rFonts w:hint="eastAsia" w:ascii="宋体" w:hAnsi="宋体" w:eastAsia="宋体" w:cs="宋体"/>
                <w:sz w:val="21"/>
                <w:szCs w:val="21"/>
              </w:rPr>
              <w:t>15</w:t>
            </w:r>
          </w:p>
        </w:tc>
        <w:tc>
          <w:tcPr>
            <w:tcW w:w="939" w:type="dxa"/>
            <w:tcBorders>
              <w:top w:val="nil"/>
              <w:left w:val="nil"/>
              <w:bottom w:val="single" w:color="auto" w:sz="4" w:space="0"/>
              <w:right w:val="single" w:color="auto" w:sz="4" w:space="0"/>
            </w:tcBorders>
            <w:shd w:val="clear" w:color="auto" w:fill="FFFFFF" w:themeFill="background1"/>
            <w:vAlign w:val="center"/>
          </w:tcPr>
          <w:p w14:paraId="7B1CB3E5">
            <w:pPr>
              <w:jc w:val="center"/>
              <w:rPr>
                <w:rFonts w:ascii="仿宋" w:hAnsi="仿宋" w:eastAsia="仿宋" w:cs="仿宋"/>
                <w:sz w:val="24"/>
              </w:rPr>
            </w:pPr>
            <w:r>
              <w:rPr>
                <w:rFonts w:hint="eastAsia" w:ascii="仿宋" w:hAnsi="仿宋" w:eastAsia="仿宋" w:cs="仿宋"/>
                <w:sz w:val="24"/>
              </w:rPr>
              <w:t>预期性</w:t>
            </w:r>
          </w:p>
        </w:tc>
      </w:tr>
      <w:tr w14:paraId="0B339AE2">
        <w:tblPrEx>
          <w:shd w:val="clear" w:color="auto" w:fill="FFFFFF" w:themeFill="background1"/>
          <w:tblCellMar>
            <w:top w:w="0" w:type="dxa"/>
            <w:left w:w="108" w:type="dxa"/>
            <w:bottom w:w="0" w:type="dxa"/>
            <w:right w:w="108" w:type="dxa"/>
          </w:tblCellMar>
        </w:tblPrEx>
        <w:trPr>
          <w:trHeight w:val="646" w:hRule="exact"/>
        </w:trPr>
        <w:tc>
          <w:tcPr>
            <w:tcW w:w="5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246AF3">
            <w:pPr>
              <w:jc w:val="center"/>
              <w:rPr>
                <w:rFonts w:hint="eastAsia" w:ascii="宋体" w:hAnsi="宋体" w:eastAsia="宋体" w:cs="宋体"/>
                <w:b w:val="0"/>
                <w:bCs w:val="0"/>
                <w:sz w:val="24"/>
              </w:rPr>
            </w:pPr>
            <w:r>
              <w:rPr>
                <w:rFonts w:hint="eastAsia" w:ascii="宋体" w:hAnsi="宋体" w:eastAsia="宋体" w:cs="宋体"/>
                <w:b w:val="0"/>
                <w:bCs w:val="0"/>
                <w:sz w:val="24"/>
              </w:rPr>
              <w:t>13</w:t>
            </w:r>
          </w:p>
        </w:tc>
        <w:tc>
          <w:tcPr>
            <w:tcW w:w="4526" w:type="dxa"/>
            <w:tcBorders>
              <w:top w:val="nil"/>
              <w:left w:val="nil"/>
              <w:bottom w:val="single" w:color="auto" w:sz="4" w:space="0"/>
              <w:right w:val="single" w:color="auto" w:sz="4" w:space="0"/>
            </w:tcBorders>
            <w:shd w:val="clear" w:color="auto" w:fill="FFFFFF" w:themeFill="background1"/>
            <w:vAlign w:val="center"/>
          </w:tcPr>
          <w:p w14:paraId="12CD18C7">
            <w:pPr>
              <w:widowControl/>
              <w:jc w:val="left"/>
              <w:textAlignment w:val="center"/>
              <w:rPr>
                <w:rFonts w:ascii="Times New Roman" w:hAnsi="Times New Roman" w:eastAsia="仿宋" w:cs="Times New Roman"/>
                <w:sz w:val="24"/>
              </w:rPr>
            </w:pPr>
            <w:r>
              <w:rPr>
                <w:rFonts w:hint="eastAsia" w:ascii="Times New Roman" w:hAnsi="Times New Roman" w:eastAsia="仿宋" w:cs="Times New Roman"/>
                <w:sz w:val="24"/>
              </w:rPr>
              <w:t>乡镇（街道）范围具备综合功能的养老服务机构覆盖率（%）</w:t>
            </w:r>
          </w:p>
        </w:tc>
        <w:tc>
          <w:tcPr>
            <w:tcW w:w="1170" w:type="dxa"/>
            <w:tcBorders>
              <w:top w:val="nil"/>
              <w:left w:val="nil"/>
              <w:bottom w:val="single" w:color="auto" w:sz="4" w:space="0"/>
              <w:right w:val="single" w:color="auto" w:sz="4" w:space="0"/>
            </w:tcBorders>
            <w:shd w:val="clear" w:color="auto" w:fill="FFFFFF" w:themeFill="background1"/>
            <w:vAlign w:val="center"/>
          </w:tcPr>
          <w:p w14:paraId="4F8455DB">
            <w:pPr>
              <w:jc w:val="center"/>
              <w:rPr>
                <w:rFonts w:hint="eastAsia" w:ascii="宋体" w:hAnsi="宋体" w:eastAsia="宋体" w:cs="宋体"/>
                <w:sz w:val="21"/>
                <w:szCs w:val="21"/>
              </w:rPr>
            </w:pPr>
            <w:r>
              <w:rPr>
                <w:rFonts w:hint="eastAsia" w:ascii="宋体" w:hAnsi="宋体" w:eastAsia="宋体" w:cs="宋体"/>
                <w:sz w:val="21"/>
                <w:szCs w:val="21"/>
              </w:rPr>
              <w:t>28</w:t>
            </w:r>
          </w:p>
        </w:tc>
        <w:tc>
          <w:tcPr>
            <w:tcW w:w="1215" w:type="dxa"/>
            <w:tcBorders>
              <w:top w:val="nil"/>
              <w:left w:val="nil"/>
              <w:bottom w:val="single" w:color="auto" w:sz="4" w:space="0"/>
              <w:right w:val="single" w:color="auto" w:sz="4" w:space="0"/>
            </w:tcBorders>
            <w:shd w:val="clear" w:color="auto" w:fill="FFFFFF" w:themeFill="background1"/>
            <w:vAlign w:val="center"/>
          </w:tcPr>
          <w:p w14:paraId="14D72EFA">
            <w:pPr>
              <w:jc w:val="center"/>
              <w:rPr>
                <w:rFonts w:hint="eastAsia" w:ascii="宋体" w:hAnsi="宋体" w:eastAsia="宋体" w:cs="宋体"/>
                <w:sz w:val="21"/>
                <w:szCs w:val="21"/>
              </w:rPr>
            </w:pPr>
            <w:r>
              <w:rPr>
                <w:rFonts w:hint="eastAsia" w:ascii="宋体" w:hAnsi="宋体" w:eastAsia="宋体" w:cs="宋体"/>
                <w:sz w:val="21"/>
                <w:szCs w:val="21"/>
              </w:rPr>
              <w:t>50</w:t>
            </w:r>
          </w:p>
        </w:tc>
        <w:tc>
          <w:tcPr>
            <w:tcW w:w="939" w:type="dxa"/>
            <w:tcBorders>
              <w:top w:val="nil"/>
              <w:left w:val="nil"/>
              <w:bottom w:val="single" w:color="auto" w:sz="4" w:space="0"/>
              <w:right w:val="single" w:color="auto" w:sz="4" w:space="0"/>
            </w:tcBorders>
            <w:shd w:val="clear" w:color="auto" w:fill="FFFFFF" w:themeFill="background1"/>
            <w:vAlign w:val="center"/>
          </w:tcPr>
          <w:p w14:paraId="238C445C">
            <w:pPr>
              <w:spacing w:line="480" w:lineRule="auto"/>
              <w:jc w:val="center"/>
              <w:rPr>
                <w:rFonts w:ascii="仿宋" w:hAnsi="仿宋" w:eastAsia="仿宋" w:cs="仿宋"/>
                <w:sz w:val="24"/>
              </w:rPr>
            </w:pPr>
            <w:r>
              <w:rPr>
                <w:rFonts w:hint="eastAsia" w:ascii="仿宋" w:hAnsi="仿宋" w:eastAsia="仿宋" w:cs="仿宋"/>
                <w:sz w:val="24"/>
              </w:rPr>
              <w:t>预期性</w:t>
            </w:r>
          </w:p>
        </w:tc>
      </w:tr>
      <w:tr w14:paraId="3C45C3AC">
        <w:tblPrEx>
          <w:shd w:val="clear" w:color="auto" w:fill="FFFFFF" w:themeFill="background1"/>
          <w:tblCellMar>
            <w:top w:w="0" w:type="dxa"/>
            <w:left w:w="108" w:type="dxa"/>
            <w:bottom w:w="0" w:type="dxa"/>
            <w:right w:w="108" w:type="dxa"/>
          </w:tblCellMar>
        </w:tblPrEx>
        <w:trPr>
          <w:trHeight w:val="658" w:hRule="exact"/>
        </w:trPr>
        <w:tc>
          <w:tcPr>
            <w:tcW w:w="5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E82CA9D">
            <w:pPr>
              <w:jc w:val="center"/>
              <w:rPr>
                <w:rFonts w:hint="eastAsia" w:ascii="宋体" w:hAnsi="宋体" w:eastAsia="宋体" w:cs="宋体"/>
                <w:b w:val="0"/>
                <w:bCs w:val="0"/>
                <w:sz w:val="24"/>
              </w:rPr>
            </w:pPr>
            <w:r>
              <w:rPr>
                <w:rFonts w:hint="eastAsia" w:ascii="宋体" w:hAnsi="宋体" w:eastAsia="宋体" w:cs="宋体"/>
                <w:b w:val="0"/>
                <w:bCs w:val="0"/>
                <w:sz w:val="24"/>
              </w:rPr>
              <w:t>14</w:t>
            </w:r>
          </w:p>
        </w:tc>
        <w:tc>
          <w:tcPr>
            <w:tcW w:w="4526" w:type="dxa"/>
            <w:tcBorders>
              <w:top w:val="nil"/>
              <w:left w:val="nil"/>
              <w:bottom w:val="single" w:color="auto" w:sz="4" w:space="0"/>
              <w:right w:val="single" w:color="auto" w:sz="4" w:space="0"/>
            </w:tcBorders>
            <w:shd w:val="clear" w:color="auto" w:fill="FFFFFF" w:themeFill="background1"/>
            <w:vAlign w:val="center"/>
          </w:tcPr>
          <w:p w14:paraId="2727EF04">
            <w:pPr>
              <w:jc w:val="left"/>
              <w:rPr>
                <w:rFonts w:ascii="Times New Roman" w:hAnsi="Times New Roman" w:eastAsia="仿宋" w:cs="Times New Roman"/>
                <w:sz w:val="24"/>
              </w:rPr>
            </w:pPr>
            <w:r>
              <w:rPr>
                <w:rFonts w:hint="eastAsia" w:ascii="Times New Roman" w:hAnsi="Times New Roman" w:eastAsia="仿宋" w:cs="Times New Roman"/>
                <w:sz w:val="24"/>
              </w:rPr>
              <w:t>农牧民人均可支配收入</w:t>
            </w:r>
            <w:r>
              <w:rPr>
                <w:rFonts w:hint="eastAsia" w:ascii="Times New Roman" w:hAnsi="Times New Roman" w:eastAsia="仿宋" w:cs="Times New Roman"/>
                <w:sz w:val="24"/>
                <w:lang w:eastAsia="zh-CN"/>
              </w:rPr>
              <w:t>增速</w:t>
            </w:r>
            <w:r>
              <w:rPr>
                <w:rFonts w:hint="eastAsia" w:ascii="Times New Roman" w:hAnsi="Times New Roman" w:eastAsia="仿宋" w:cs="Times New Roman"/>
                <w:sz w:val="24"/>
              </w:rPr>
              <w:t>（%）</w:t>
            </w:r>
          </w:p>
        </w:tc>
        <w:tc>
          <w:tcPr>
            <w:tcW w:w="1170" w:type="dxa"/>
            <w:tcBorders>
              <w:top w:val="nil"/>
              <w:left w:val="nil"/>
              <w:bottom w:val="single" w:color="auto" w:sz="4" w:space="0"/>
              <w:right w:val="single" w:color="auto" w:sz="4" w:space="0"/>
            </w:tcBorders>
            <w:shd w:val="clear" w:color="auto" w:fill="FFFFFF" w:themeFill="background1"/>
            <w:vAlign w:val="center"/>
          </w:tcPr>
          <w:p w14:paraId="0EE96076">
            <w:pPr>
              <w:jc w:val="center"/>
              <w:rPr>
                <w:rFonts w:hint="eastAsia" w:ascii="宋体" w:hAnsi="宋体" w:eastAsia="宋体" w:cs="宋体"/>
                <w:sz w:val="21"/>
                <w:szCs w:val="21"/>
              </w:rPr>
            </w:pPr>
            <w:r>
              <w:rPr>
                <w:rFonts w:hint="eastAsia" w:ascii="宋体" w:hAnsi="宋体" w:eastAsia="宋体" w:cs="宋体"/>
                <w:sz w:val="21"/>
                <w:szCs w:val="21"/>
              </w:rPr>
              <w:t>8.5</w:t>
            </w:r>
          </w:p>
        </w:tc>
        <w:tc>
          <w:tcPr>
            <w:tcW w:w="1215" w:type="dxa"/>
            <w:tcBorders>
              <w:top w:val="nil"/>
              <w:left w:val="nil"/>
              <w:bottom w:val="single" w:color="auto" w:sz="4" w:space="0"/>
              <w:right w:val="single" w:color="auto" w:sz="4" w:space="0"/>
            </w:tcBorders>
            <w:shd w:val="clear" w:color="auto" w:fill="FFFFFF" w:themeFill="background1"/>
            <w:vAlign w:val="center"/>
          </w:tcPr>
          <w:p w14:paraId="76E78309">
            <w:pPr>
              <w:jc w:val="center"/>
              <w:rPr>
                <w:rFonts w:hint="eastAsia" w:ascii="宋体" w:hAnsi="宋体" w:eastAsia="宋体" w:cs="宋体"/>
                <w:sz w:val="21"/>
                <w:szCs w:val="21"/>
              </w:rPr>
            </w:pPr>
            <w:r>
              <w:rPr>
                <w:rFonts w:hint="eastAsia" w:ascii="宋体" w:hAnsi="宋体" w:eastAsia="宋体" w:cs="宋体"/>
                <w:sz w:val="18"/>
                <w:szCs w:val="18"/>
              </w:rPr>
              <w:t>与经济增长基本同步</w:t>
            </w:r>
          </w:p>
        </w:tc>
        <w:tc>
          <w:tcPr>
            <w:tcW w:w="939" w:type="dxa"/>
            <w:tcBorders>
              <w:top w:val="nil"/>
              <w:left w:val="nil"/>
              <w:bottom w:val="single" w:color="auto" w:sz="4" w:space="0"/>
              <w:right w:val="single" w:color="auto" w:sz="4" w:space="0"/>
            </w:tcBorders>
            <w:shd w:val="clear" w:color="auto" w:fill="FFFFFF" w:themeFill="background1"/>
            <w:vAlign w:val="center"/>
          </w:tcPr>
          <w:p w14:paraId="7A2F376B">
            <w:pPr>
              <w:jc w:val="center"/>
              <w:rPr>
                <w:rFonts w:ascii="仿宋" w:hAnsi="仿宋" w:eastAsia="仿宋" w:cs="仿宋"/>
                <w:sz w:val="24"/>
              </w:rPr>
            </w:pPr>
            <w:r>
              <w:rPr>
                <w:rFonts w:hint="eastAsia" w:ascii="仿宋" w:hAnsi="仿宋" w:eastAsia="仿宋" w:cs="仿宋"/>
                <w:sz w:val="24"/>
              </w:rPr>
              <w:t>预期性</w:t>
            </w:r>
          </w:p>
        </w:tc>
      </w:tr>
      <w:tr w14:paraId="68048366">
        <w:tblPrEx>
          <w:shd w:val="clear" w:color="auto" w:fill="FFFFFF" w:themeFill="background1"/>
          <w:tblCellMar>
            <w:top w:w="0" w:type="dxa"/>
            <w:left w:w="108" w:type="dxa"/>
            <w:bottom w:w="0" w:type="dxa"/>
            <w:right w:w="108" w:type="dxa"/>
          </w:tblCellMar>
        </w:tblPrEx>
        <w:trPr>
          <w:trHeight w:val="533" w:hRule="exact"/>
        </w:trPr>
        <w:tc>
          <w:tcPr>
            <w:tcW w:w="5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E3FF66">
            <w:pPr>
              <w:jc w:val="center"/>
              <w:rPr>
                <w:rFonts w:hint="eastAsia" w:ascii="宋体" w:hAnsi="宋体" w:eastAsia="宋体" w:cs="宋体"/>
                <w:b w:val="0"/>
                <w:bCs w:val="0"/>
                <w:sz w:val="24"/>
              </w:rPr>
            </w:pPr>
            <w:r>
              <w:rPr>
                <w:rFonts w:hint="eastAsia" w:ascii="宋体" w:hAnsi="宋体" w:eastAsia="宋体" w:cs="宋体"/>
                <w:b w:val="0"/>
                <w:bCs w:val="0"/>
                <w:sz w:val="24"/>
              </w:rPr>
              <w:t>15</w:t>
            </w:r>
          </w:p>
        </w:tc>
        <w:tc>
          <w:tcPr>
            <w:tcW w:w="4526" w:type="dxa"/>
            <w:tcBorders>
              <w:top w:val="nil"/>
              <w:left w:val="nil"/>
              <w:bottom w:val="single" w:color="auto" w:sz="4" w:space="0"/>
              <w:right w:val="single" w:color="auto" w:sz="4" w:space="0"/>
            </w:tcBorders>
            <w:shd w:val="clear" w:color="auto" w:fill="FFFFFF" w:themeFill="background1"/>
            <w:vAlign w:val="center"/>
          </w:tcPr>
          <w:p w14:paraId="4C96B1FA">
            <w:pPr>
              <w:widowControl/>
              <w:jc w:val="left"/>
              <w:textAlignment w:val="center"/>
              <w:rPr>
                <w:rFonts w:ascii="Times New Roman" w:hAnsi="Times New Roman" w:eastAsia="仿宋" w:cs="Times New Roman"/>
                <w:sz w:val="24"/>
              </w:rPr>
            </w:pPr>
            <w:r>
              <w:rPr>
                <w:rFonts w:hint="eastAsia" w:ascii="Times New Roman" w:hAnsi="Times New Roman" w:eastAsia="仿宋" w:cs="Times New Roman"/>
                <w:sz w:val="24"/>
              </w:rPr>
              <w:t>集体收益</w:t>
            </w:r>
            <w:r>
              <w:rPr>
                <w:rFonts w:hint="eastAsia" w:ascii="仿宋" w:hAnsi="仿宋" w:eastAsia="仿宋" w:cs="仿宋"/>
                <w:sz w:val="24"/>
              </w:rPr>
              <w:t>10万</w:t>
            </w:r>
            <w:r>
              <w:rPr>
                <w:rFonts w:hint="eastAsia" w:ascii="Times New Roman" w:hAnsi="Times New Roman" w:eastAsia="仿宋" w:cs="Times New Roman"/>
                <w:sz w:val="24"/>
              </w:rPr>
              <w:t>元以上嘎查村</w:t>
            </w:r>
            <w:r>
              <w:rPr>
                <w:rFonts w:hint="eastAsia" w:ascii="Times New Roman" w:hAnsi="Times New Roman" w:eastAsia="仿宋" w:cs="Times New Roman"/>
                <w:sz w:val="24"/>
                <w:lang w:eastAsia="zh-CN"/>
              </w:rPr>
              <w:t>占比</w:t>
            </w:r>
            <w:r>
              <w:rPr>
                <w:rFonts w:hint="eastAsia" w:ascii="Times New Roman" w:hAnsi="Times New Roman" w:eastAsia="仿宋" w:cs="Times New Roman"/>
                <w:sz w:val="24"/>
              </w:rPr>
              <w:t>（%）</w:t>
            </w:r>
          </w:p>
        </w:tc>
        <w:tc>
          <w:tcPr>
            <w:tcW w:w="1170" w:type="dxa"/>
            <w:tcBorders>
              <w:top w:val="nil"/>
              <w:left w:val="nil"/>
              <w:bottom w:val="single" w:color="auto" w:sz="4" w:space="0"/>
              <w:right w:val="single" w:color="auto" w:sz="4" w:space="0"/>
            </w:tcBorders>
            <w:shd w:val="clear" w:color="auto" w:fill="FFFFFF" w:themeFill="background1"/>
            <w:vAlign w:val="center"/>
          </w:tcPr>
          <w:p w14:paraId="75192976">
            <w:pPr>
              <w:jc w:val="center"/>
              <w:rPr>
                <w:rFonts w:hint="eastAsia" w:ascii="宋体" w:hAnsi="宋体" w:eastAsia="宋体" w:cs="宋体"/>
                <w:sz w:val="21"/>
                <w:szCs w:val="21"/>
              </w:rPr>
            </w:pPr>
            <w:r>
              <w:rPr>
                <w:rFonts w:hint="eastAsia" w:ascii="宋体" w:hAnsi="宋体" w:eastAsia="宋体" w:cs="宋体"/>
                <w:sz w:val="21"/>
                <w:szCs w:val="21"/>
              </w:rPr>
              <w:t>65</w:t>
            </w:r>
          </w:p>
        </w:tc>
        <w:tc>
          <w:tcPr>
            <w:tcW w:w="1215" w:type="dxa"/>
            <w:tcBorders>
              <w:top w:val="nil"/>
              <w:left w:val="nil"/>
              <w:bottom w:val="single" w:color="auto" w:sz="4" w:space="0"/>
              <w:right w:val="single" w:color="auto" w:sz="4" w:space="0"/>
            </w:tcBorders>
            <w:shd w:val="clear" w:color="auto" w:fill="FFFFFF" w:themeFill="background1"/>
            <w:vAlign w:val="center"/>
          </w:tcPr>
          <w:p w14:paraId="4C4A00AE">
            <w:pPr>
              <w:jc w:val="center"/>
              <w:rPr>
                <w:rFonts w:hint="eastAsia" w:ascii="宋体" w:hAnsi="宋体" w:eastAsia="宋体" w:cs="宋体"/>
                <w:sz w:val="21"/>
                <w:szCs w:val="21"/>
              </w:rPr>
            </w:pPr>
            <w:r>
              <w:rPr>
                <w:rFonts w:hint="eastAsia" w:ascii="宋体" w:hAnsi="宋体" w:eastAsia="宋体" w:cs="宋体"/>
                <w:sz w:val="21"/>
                <w:szCs w:val="21"/>
              </w:rPr>
              <w:t>100</w:t>
            </w:r>
          </w:p>
        </w:tc>
        <w:tc>
          <w:tcPr>
            <w:tcW w:w="939" w:type="dxa"/>
            <w:tcBorders>
              <w:top w:val="nil"/>
              <w:left w:val="nil"/>
              <w:bottom w:val="single" w:color="auto" w:sz="4" w:space="0"/>
              <w:right w:val="single" w:color="auto" w:sz="4" w:space="0"/>
            </w:tcBorders>
            <w:shd w:val="clear" w:color="auto" w:fill="FFFFFF" w:themeFill="background1"/>
            <w:vAlign w:val="center"/>
          </w:tcPr>
          <w:p w14:paraId="43DE64C2">
            <w:pPr>
              <w:jc w:val="center"/>
              <w:rPr>
                <w:rFonts w:ascii="仿宋" w:hAnsi="仿宋" w:eastAsia="仿宋" w:cs="仿宋"/>
                <w:sz w:val="24"/>
              </w:rPr>
            </w:pPr>
            <w:r>
              <w:rPr>
                <w:rFonts w:hint="eastAsia" w:ascii="仿宋" w:hAnsi="仿宋" w:eastAsia="仿宋" w:cs="仿宋"/>
                <w:sz w:val="24"/>
              </w:rPr>
              <w:t>预期性</w:t>
            </w:r>
          </w:p>
        </w:tc>
      </w:tr>
      <w:tr w14:paraId="0F91E12D">
        <w:tblPrEx>
          <w:shd w:val="clear" w:color="auto" w:fill="FFFFFF" w:themeFill="background1"/>
          <w:tblCellMar>
            <w:top w:w="0" w:type="dxa"/>
            <w:left w:w="108" w:type="dxa"/>
            <w:bottom w:w="0" w:type="dxa"/>
            <w:right w:w="108" w:type="dxa"/>
          </w:tblCellMar>
        </w:tblPrEx>
        <w:trPr>
          <w:trHeight w:val="533" w:hRule="exact"/>
        </w:trPr>
        <w:tc>
          <w:tcPr>
            <w:tcW w:w="5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46B761">
            <w:pPr>
              <w:jc w:val="center"/>
              <w:rPr>
                <w:rFonts w:hint="eastAsia" w:ascii="宋体" w:hAnsi="宋体" w:eastAsia="宋体" w:cs="宋体"/>
                <w:b w:val="0"/>
                <w:bCs w:val="0"/>
                <w:sz w:val="24"/>
              </w:rPr>
            </w:pPr>
            <w:r>
              <w:rPr>
                <w:rFonts w:hint="eastAsia" w:ascii="宋体" w:hAnsi="宋体" w:eastAsia="宋体" w:cs="宋体"/>
                <w:b w:val="0"/>
                <w:bCs w:val="0"/>
                <w:sz w:val="24"/>
              </w:rPr>
              <w:t>16</w:t>
            </w:r>
          </w:p>
        </w:tc>
        <w:tc>
          <w:tcPr>
            <w:tcW w:w="4526" w:type="dxa"/>
            <w:tcBorders>
              <w:top w:val="nil"/>
              <w:left w:val="nil"/>
              <w:bottom w:val="single" w:color="auto" w:sz="4" w:space="0"/>
              <w:right w:val="single" w:color="auto" w:sz="4" w:space="0"/>
            </w:tcBorders>
            <w:shd w:val="clear" w:color="auto" w:fill="FFFFFF" w:themeFill="background1"/>
            <w:vAlign w:val="center"/>
          </w:tcPr>
          <w:p w14:paraId="21EF6C2D">
            <w:pPr>
              <w:widowControl/>
              <w:jc w:val="left"/>
              <w:textAlignment w:val="center"/>
              <w:rPr>
                <w:rFonts w:ascii="Times New Roman" w:hAnsi="Times New Roman" w:eastAsia="仿宋" w:cs="Times New Roman"/>
                <w:sz w:val="24"/>
              </w:rPr>
            </w:pPr>
            <w:r>
              <w:rPr>
                <w:rFonts w:hint="eastAsia" w:ascii="Times New Roman" w:hAnsi="Times New Roman" w:eastAsia="仿宋" w:cs="Times New Roman"/>
                <w:sz w:val="24"/>
              </w:rPr>
              <w:t>旗县</w:t>
            </w:r>
            <w:r>
              <w:rPr>
                <w:rFonts w:hint="eastAsia" w:ascii="Times New Roman" w:hAnsi="Times New Roman" w:eastAsia="仿宋" w:cs="Times New Roman"/>
                <w:sz w:val="24"/>
                <w:lang w:eastAsia="zh-CN"/>
              </w:rPr>
              <w:t>级</w:t>
            </w:r>
            <w:r>
              <w:rPr>
                <w:rFonts w:hint="eastAsia" w:ascii="Times New Roman" w:hAnsi="Times New Roman" w:eastAsia="仿宋" w:cs="Times New Roman"/>
                <w:sz w:val="24"/>
              </w:rPr>
              <w:t>及以上文明嘎查村占比（%）</w:t>
            </w:r>
          </w:p>
        </w:tc>
        <w:tc>
          <w:tcPr>
            <w:tcW w:w="1170" w:type="dxa"/>
            <w:tcBorders>
              <w:top w:val="nil"/>
              <w:left w:val="nil"/>
              <w:bottom w:val="single" w:color="auto" w:sz="4" w:space="0"/>
              <w:right w:val="single" w:color="auto" w:sz="4" w:space="0"/>
            </w:tcBorders>
            <w:shd w:val="clear" w:color="auto" w:fill="FFFFFF" w:themeFill="background1"/>
            <w:vAlign w:val="center"/>
          </w:tcPr>
          <w:p w14:paraId="2F10BE9B">
            <w:pPr>
              <w:jc w:val="center"/>
              <w:rPr>
                <w:rFonts w:hint="eastAsia" w:ascii="宋体" w:hAnsi="宋体" w:eastAsia="宋体" w:cs="宋体"/>
                <w:sz w:val="21"/>
                <w:szCs w:val="21"/>
              </w:rPr>
            </w:pPr>
            <w:r>
              <w:rPr>
                <w:rFonts w:hint="eastAsia" w:ascii="宋体" w:hAnsi="宋体" w:eastAsia="宋体" w:cs="宋体"/>
                <w:sz w:val="21"/>
                <w:szCs w:val="21"/>
              </w:rPr>
              <w:t>74.5</w:t>
            </w:r>
          </w:p>
        </w:tc>
        <w:tc>
          <w:tcPr>
            <w:tcW w:w="1215" w:type="dxa"/>
            <w:tcBorders>
              <w:top w:val="nil"/>
              <w:left w:val="nil"/>
              <w:bottom w:val="single" w:color="auto" w:sz="4" w:space="0"/>
              <w:right w:val="single" w:color="auto" w:sz="4" w:space="0"/>
            </w:tcBorders>
            <w:shd w:val="clear" w:color="auto" w:fill="FFFFFF" w:themeFill="background1"/>
            <w:vAlign w:val="center"/>
          </w:tcPr>
          <w:p w14:paraId="72B945A0">
            <w:pPr>
              <w:jc w:val="center"/>
              <w:rPr>
                <w:rFonts w:hint="eastAsia" w:ascii="宋体" w:hAnsi="宋体" w:eastAsia="宋体" w:cs="宋体"/>
                <w:sz w:val="21"/>
                <w:szCs w:val="21"/>
              </w:rPr>
            </w:pPr>
            <w:r>
              <w:rPr>
                <w:rFonts w:hint="eastAsia" w:ascii="宋体" w:hAnsi="宋体" w:eastAsia="宋体" w:cs="宋体"/>
                <w:sz w:val="21"/>
                <w:szCs w:val="21"/>
              </w:rPr>
              <w:t>100</w:t>
            </w:r>
          </w:p>
        </w:tc>
        <w:tc>
          <w:tcPr>
            <w:tcW w:w="939" w:type="dxa"/>
            <w:tcBorders>
              <w:top w:val="nil"/>
              <w:left w:val="nil"/>
              <w:bottom w:val="single" w:color="auto" w:sz="4" w:space="0"/>
              <w:right w:val="single" w:color="auto" w:sz="4" w:space="0"/>
            </w:tcBorders>
            <w:shd w:val="clear" w:color="auto" w:fill="FFFFFF" w:themeFill="background1"/>
            <w:vAlign w:val="center"/>
          </w:tcPr>
          <w:p w14:paraId="07946184">
            <w:pPr>
              <w:spacing w:line="480" w:lineRule="auto"/>
              <w:jc w:val="center"/>
              <w:rPr>
                <w:rFonts w:ascii="仿宋" w:hAnsi="仿宋" w:eastAsia="仿宋" w:cs="仿宋"/>
                <w:sz w:val="24"/>
              </w:rPr>
            </w:pPr>
            <w:r>
              <w:rPr>
                <w:rFonts w:hint="eastAsia" w:ascii="仿宋" w:hAnsi="仿宋" w:eastAsia="仿宋" w:cs="仿宋"/>
                <w:sz w:val="24"/>
              </w:rPr>
              <w:t>预期性</w:t>
            </w:r>
          </w:p>
        </w:tc>
      </w:tr>
      <w:tr w14:paraId="6ACF3AE2">
        <w:tblPrEx>
          <w:shd w:val="clear" w:color="auto" w:fill="FFFFFF" w:themeFill="background1"/>
          <w:tblCellMar>
            <w:top w:w="0" w:type="dxa"/>
            <w:left w:w="108" w:type="dxa"/>
            <w:bottom w:w="0" w:type="dxa"/>
            <w:right w:w="108" w:type="dxa"/>
          </w:tblCellMar>
        </w:tblPrEx>
        <w:trPr>
          <w:trHeight w:val="646" w:hRule="exact"/>
        </w:trPr>
        <w:tc>
          <w:tcPr>
            <w:tcW w:w="5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CF3F5F">
            <w:pPr>
              <w:jc w:val="center"/>
              <w:rPr>
                <w:rFonts w:hint="eastAsia" w:ascii="宋体" w:hAnsi="宋体" w:eastAsia="宋体" w:cs="宋体"/>
                <w:b w:val="0"/>
                <w:bCs w:val="0"/>
                <w:sz w:val="24"/>
              </w:rPr>
            </w:pPr>
            <w:r>
              <w:rPr>
                <w:rFonts w:hint="eastAsia" w:ascii="宋体" w:hAnsi="宋体" w:eastAsia="宋体" w:cs="宋体"/>
                <w:b w:val="0"/>
                <w:bCs w:val="0"/>
                <w:sz w:val="24"/>
              </w:rPr>
              <w:t>17</w:t>
            </w:r>
          </w:p>
        </w:tc>
        <w:tc>
          <w:tcPr>
            <w:tcW w:w="4526" w:type="dxa"/>
            <w:tcBorders>
              <w:top w:val="nil"/>
              <w:left w:val="nil"/>
              <w:bottom w:val="single" w:color="auto" w:sz="4" w:space="0"/>
              <w:right w:val="single" w:color="auto" w:sz="4" w:space="0"/>
            </w:tcBorders>
            <w:shd w:val="clear" w:color="auto" w:fill="FFFFFF" w:themeFill="background1"/>
            <w:vAlign w:val="center"/>
          </w:tcPr>
          <w:p w14:paraId="7ADA1A4F">
            <w:pPr>
              <w:jc w:val="left"/>
              <w:rPr>
                <w:rFonts w:ascii="Times New Roman" w:hAnsi="Times New Roman" w:eastAsia="仿宋" w:cs="Times New Roman"/>
                <w:bCs/>
                <w:sz w:val="24"/>
              </w:rPr>
            </w:pPr>
            <w:r>
              <w:rPr>
                <w:rFonts w:hint="eastAsia" w:ascii="Times New Roman" w:hAnsi="Times New Roman" w:eastAsia="仿宋" w:cs="Times New Roman"/>
                <w:bCs/>
                <w:sz w:val="24"/>
              </w:rPr>
              <w:t>农村牧区居民教育文化娱乐消费支出占比（%）</w:t>
            </w:r>
          </w:p>
        </w:tc>
        <w:tc>
          <w:tcPr>
            <w:tcW w:w="1170" w:type="dxa"/>
            <w:tcBorders>
              <w:top w:val="nil"/>
              <w:left w:val="nil"/>
              <w:bottom w:val="single" w:color="auto" w:sz="4" w:space="0"/>
              <w:right w:val="single" w:color="auto" w:sz="4" w:space="0"/>
            </w:tcBorders>
            <w:shd w:val="clear" w:color="auto" w:fill="FFFFFF" w:themeFill="background1"/>
            <w:vAlign w:val="center"/>
          </w:tcPr>
          <w:p w14:paraId="3848A4E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10.6</w:t>
            </w:r>
          </w:p>
        </w:tc>
        <w:tc>
          <w:tcPr>
            <w:tcW w:w="1215" w:type="dxa"/>
            <w:tcBorders>
              <w:top w:val="nil"/>
              <w:left w:val="nil"/>
              <w:bottom w:val="single" w:color="auto" w:sz="4" w:space="0"/>
              <w:right w:val="single" w:color="auto" w:sz="4" w:space="0"/>
            </w:tcBorders>
            <w:shd w:val="clear" w:color="auto" w:fill="FFFFFF" w:themeFill="background1"/>
            <w:vAlign w:val="center"/>
          </w:tcPr>
          <w:p w14:paraId="5218A8EC">
            <w:pPr>
              <w:jc w:val="center"/>
              <w:rPr>
                <w:rFonts w:hint="eastAsia" w:ascii="宋体" w:hAnsi="宋体" w:eastAsia="宋体" w:cs="宋体"/>
                <w:sz w:val="21"/>
                <w:szCs w:val="21"/>
              </w:rPr>
            </w:pPr>
            <w:r>
              <w:rPr>
                <w:rFonts w:hint="eastAsia" w:ascii="宋体" w:hAnsi="宋体" w:eastAsia="宋体" w:cs="宋体"/>
                <w:sz w:val="21"/>
                <w:szCs w:val="21"/>
              </w:rPr>
              <w:t>13</w:t>
            </w:r>
          </w:p>
        </w:tc>
        <w:tc>
          <w:tcPr>
            <w:tcW w:w="939" w:type="dxa"/>
            <w:tcBorders>
              <w:top w:val="nil"/>
              <w:left w:val="nil"/>
              <w:bottom w:val="single" w:color="auto" w:sz="4" w:space="0"/>
              <w:right w:val="single" w:color="auto" w:sz="4" w:space="0"/>
            </w:tcBorders>
            <w:shd w:val="clear" w:color="auto" w:fill="FFFFFF" w:themeFill="background1"/>
            <w:vAlign w:val="center"/>
          </w:tcPr>
          <w:p w14:paraId="41929FE1">
            <w:pPr>
              <w:spacing w:line="480" w:lineRule="auto"/>
              <w:jc w:val="center"/>
              <w:rPr>
                <w:rFonts w:ascii="仿宋" w:hAnsi="仿宋" w:eastAsia="仿宋" w:cs="仿宋"/>
                <w:sz w:val="24"/>
              </w:rPr>
            </w:pPr>
            <w:r>
              <w:rPr>
                <w:rFonts w:hint="eastAsia" w:ascii="仿宋" w:hAnsi="仿宋" w:eastAsia="仿宋" w:cs="仿宋"/>
                <w:sz w:val="24"/>
              </w:rPr>
              <w:t>预期性</w:t>
            </w:r>
          </w:p>
        </w:tc>
      </w:tr>
      <w:bookmarkEnd w:id="120"/>
      <w:bookmarkEnd w:id="121"/>
    </w:tbl>
    <w:p w14:paraId="2286497C">
      <w:pPr>
        <w:jc w:val="center"/>
        <w:rPr>
          <w:rFonts w:hint="eastAsia" w:ascii="方正小标宋简体" w:hAnsi="方正小标宋简体" w:eastAsia="方正小标宋简体" w:cs="方正小标宋简体"/>
          <w:sz w:val="32"/>
          <w:szCs w:val="32"/>
        </w:rPr>
      </w:pPr>
      <w:bookmarkStart w:id="164" w:name="_Toc60561655"/>
      <w:bookmarkStart w:id="165" w:name="_Toc20291"/>
      <w:bookmarkStart w:id="166" w:name="_Toc29862"/>
      <w:bookmarkStart w:id="167" w:name="_Toc11616"/>
      <w:bookmarkStart w:id="168" w:name="_Toc27015"/>
      <w:bookmarkStart w:id="169" w:name="_Toc29517728_WPSOffice_Level1"/>
      <w:bookmarkStart w:id="170" w:name="_Toc58870102"/>
      <w:bookmarkStart w:id="171" w:name="_Toc20704"/>
      <w:bookmarkStart w:id="172" w:name="_Toc59000510"/>
    </w:p>
    <w:p w14:paraId="655163B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第三章 打造优势特色农牧</w:t>
      </w:r>
      <w:bookmarkEnd w:id="164"/>
      <w:r>
        <w:rPr>
          <w:rFonts w:hint="eastAsia" w:ascii="方正小标宋简体" w:hAnsi="方正小标宋简体" w:eastAsia="方正小标宋简体" w:cs="方正小标宋简体"/>
          <w:sz w:val="44"/>
          <w:szCs w:val="44"/>
        </w:rPr>
        <w:t>业</w:t>
      </w:r>
      <w:bookmarkEnd w:id="165"/>
      <w:bookmarkEnd w:id="166"/>
      <w:bookmarkEnd w:id="167"/>
      <w:bookmarkEnd w:id="168"/>
      <w:bookmarkEnd w:id="169"/>
    </w:p>
    <w:p w14:paraId="390F8BCB">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theme="minorBidi"/>
          <w:sz w:val="32"/>
          <w:szCs w:val="32"/>
        </w:rPr>
      </w:pPr>
      <w:r>
        <w:rPr>
          <w:rFonts w:hint="eastAsia" w:ascii="仿宋" w:hAnsi="仿宋" w:eastAsia="仿宋" w:cstheme="minorBidi"/>
          <w:sz w:val="32"/>
          <w:szCs w:val="32"/>
          <w:lang w:eastAsia="zh-CN"/>
        </w:rPr>
        <w:t>持续</w:t>
      </w:r>
      <w:r>
        <w:rPr>
          <w:rFonts w:hint="eastAsia" w:ascii="仿宋" w:hAnsi="仿宋" w:eastAsia="仿宋" w:cstheme="minorBidi"/>
          <w:sz w:val="32"/>
          <w:szCs w:val="32"/>
        </w:rPr>
        <w:t>深化农牧业供给侧结构性改革，</w:t>
      </w:r>
      <w:r>
        <w:rPr>
          <w:rFonts w:ascii="仿宋" w:hAnsi="仿宋" w:eastAsia="仿宋" w:cstheme="minorBidi"/>
          <w:sz w:val="32"/>
          <w:szCs w:val="32"/>
        </w:rPr>
        <w:t>调整</w:t>
      </w:r>
      <w:r>
        <w:rPr>
          <w:rFonts w:hint="eastAsia" w:ascii="仿宋" w:hAnsi="仿宋" w:eastAsia="仿宋" w:cstheme="minorBidi"/>
          <w:sz w:val="32"/>
          <w:szCs w:val="32"/>
        </w:rPr>
        <w:t>产业</w:t>
      </w:r>
      <w:r>
        <w:rPr>
          <w:rFonts w:ascii="仿宋" w:hAnsi="仿宋" w:eastAsia="仿宋" w:cstheme="minorBidi"/>
          <w:sz w:val="32"/>
          <w:szCs w:val="32"/>
        </w:rPr>
        <w:t>结构，优化</w:t>
      </w:r>
      <w:r>
        <w:rPr>
          <w:rFonts w:hint="eastAsia" w:ascii="仿宋" w:hAnsi="仿宋" w:eastAsia="仿宋" w:cstheme="minorBidi"/>
          <w:sz w:val="32"/>
          <w:szCs w:val="32"/>
        </w:rPr>
        <w:t>产业</w:t>
      </w:r>
      <w:r>
        <w:rPr>
          <w:rFonts w:ascii="仿宋" w:hAnsi="仿宋" w:eastAsia="仿宋" w:cstheme="minorBidi"/>
          <w:sz w:val="32"/>
          <w:szCs w:val="32"/>
        </w:rPr>
        <w:t>布局，加快推动农畜产品生产基地向优质高效转型</w:t>
      </w:r>
      <w:r>
        <w:rPr>
          <w:rFonts w:hint="eastAsia" w:ascii="仿宋" w:hAnsi="仿宋" w:eastAsia="仿宋" w:cstheme="minorBidi"/>
          <w:sz w:val="32"/>
          <w:szCs w:val="32"/>
          <w:lang w:eastAsia="zh-CN"/>
        </w:rPr>
        <w:t>，争做自治区高质量建设农畜产品生产基地的“领头羊”</w:t>
      </w:r>
      <w:r>
        <w:rPr>
          <w:rFonts w:ascii="仿宋" w:hAnsi="仿宋" w:eastAsia="仿宋" w:cstheme="minorBidi"/>
          <w:sz w:val="32"/>
          <w:szCs w:val="32"/>
        </w:rPr>
        <w:t>。</w:t>
      </w:r>
      <w:r>
        <w:rPr>
          <w:rFonts w:ascii="仿宋" w:hAnsi="仿宋" w:eastAsia="仿宋" w:cstheme="minorBidi"/>
          <w:b w:val="0"/>
          <w:bCs/>
          <w:sz w:val="32"/>
          <w:szCs w:val="32"/>
        </w:rPr>
        <w:t>畜牧业，巩固“减羊增牛”</w:t>
      </w:r>
      <w:r>
        <w:rPr>
          <w:rFonts w:hint="eastAsia" w:ascii="仿宋" w:hAnsi="仿宋" w:eastAsia="仿宋" w:cstheme="minorBidi"/>
          <w:b w:val="0"/>
          <w:bCs/>
          <w:sz w:val="32"/>
          <w:szCs w:val="32"/>
        </w:rPr>
        <w:t>政策</w:t>
      </w:r>
      <w:r>
        <w:rPr>
          <w:rFonts w:ascii="仿宋" w:hAnsi="仿宋" w:eastAsia="仿宋" w:cstheme="minorBidi"/>
          <w:b w:val="0"/>
          <w:bCs/>
          <w:sz w:val="32"/>
          <w:szCs w:val="32"/>
        </w:rPr>
        <w:t>成果，聚焦“一区一带”建设，不断做强</w:t>
      </w:r>
      <w:r>
        <w:rPr>
          <w:rFonts w:hint="eastAsia" w:ascii="仿宋" w:hAnsi="仿宋" w:eastAsia="仿宋" w:cstheme="minorBidi"/>
          <w:b w:val="0"/>
          <w:bCs/>
          <w:sz w:val="32"/>
          <w:szCs w:val="32"/>
          <w:lang w:eastAsia="zh-CN"/>
        </w:rPr>
        <w:t>做大</w:t>
      </w:r>
      <w:r>
        <w:rPr>
          <w:rFonts w:ascii="仿宋" w:hAnsi="仿宋" w:eastAsia="仿宋" w:cstheme="minorBidi"/>
          <w:b w:val="0"/>
          <w:bCs/>
          <w:sz w:val="32"/>
          <w:szCs w:val="32"/>
        </w:rPr>
        <w:t>肉羊、肉牛两大主导产业，做精奶、驼、马等特色</w:t>
      </w:r>
      <w:r>
        <w:rPr>
          <w:rFonts w:hint="eastAsia" w:ascii="仿宋" w:hAnsi="仿宋" w:eastAsia="仿宋" w:cstheme="minorBidi"/>
          <w:b w:val="0"/>
          <w:bCs/>
          <w:sz w:val="32"/>
          <w:szCs w:val="32"/>
          <w:lang w:eastAsia="zh-CN"/>
        </w:rPr>
        <w:t>畜牧</w:t>
      </w:r>
      <w:r>
        <w:rPr>
          <w:rFonts w:ascii="仿宋" w:hAnsi="仿宋" w:eastAsia="仿宋" w:cstheme="minorBidi"/>
          <w:b w:val="0"/>
          <w:bCs/>
          <w:sz w:val="32"/>
          <w:szCs w:val="32"/>
        </w:rPr>
        <w:t>业。</w:t>
      </w:r>
      <w:r>
        <w:rPr>
          <w:rFonts w:hint="eastAsia" w:ascii="仿宋" w:hAnsi="仿宋" w:eastAsia="仿宋" w:cstheme="minorBidi"/>
          <w:b w:val="0"/>
          <w:bCs/>
          <w:sz w:val="32"/>
          <w:szCs w:val="32"/>
          <w:lang w:eastAsia="zh-CN"/>
        </w:rPr>
        <w:t>种植</w:t>
      </w:r>
      <w:r>
        <w:rPr>
          <w:rFonts w:ascii="仿宋" w:hAnsi="仿宋" w:eastAsia="仿宋" w:cstheme="minorBidi"/>
          <w:b w:val="0"/>
          <w:bCs/>
          <w:sz w:val="32"/>
          <w:szCs w:val="32"/>
        </w:rPr>
        <w:t>业，</w:t>
      </w:r>
      <w:r>
        <w:rPr>
          <w:rFonts w:hint="eastAsia" w:ascii="仿宋" w:hAnsi="仿宋" w:eastAsia="仿宋" w:cstheme="minorBidi"/>
          <w:b w:val="0"/>
          <w:bCs/>
          <w:sz w:val="32"/>
          <w:szCs w:val="32"/>
          <w:lang w:eastAsia="zh-CN"/>
        </w:rPr>
        <w:t>坚持</w:t>
      </w:r>
      <w:r>
        <w:rPr>
          <w:rFonts w:ascii="仿宋" w:hAnsi="仿宋" w:eastAsia="仿宋" w:cstheme="minorBidi"/>
          <w:b w:val="0"/>
          <w:bCs/>
          <w:sz w:val="32"/>
          <w:szCs w:val="32"/>
        </w:rPr>
        <w:t>“为养而种、为工而种、为市而种”</w:t>
      </w:r>
      <w:r>
        <w:rPr>
          <w:rFonts w:ascii="仿宋" w:hAnsi="仿宋" w:eastAsia="仿宋" w:cstheme="minorBidi"/>
          <w:sz w:val="32"/>
          <w:szCs w:val="32"/>
        </w:rPr>
        <w:t>发展思路，稳步扩大青贮玉米、青谷草、青莜麦</w:t>
      </w:r>
      <w:r>
        <w:rPr>
          <w:rFonts w:hint="eastAsia" w:ascii="仿宋" w:hAnsi="仿宋" w:eastAsia="仿宋" w:cstheme="minorBidi"/>
          <w:sz w:val="32"/>
          <w:szCs w:val="32"/>
          <w:lang w:eastAsia="zh-CN"/>
        </w:rPr>
        <w:t>、</w:t>
      </w:r>
      <w:r>
        <w:rPr>
          <w:rFonts w:ascii="仿宋" w:hAnsi="仿宋" w:eastAsia="仿宋" w:cstheme="minorBidi"/>
          <w:sz w:val="32"/>
          <w:szCs w:val="32"/>
        </w:rPr>
        <w:t>苜蓿等优良牧草种植规模</w:t>
      </w:r>
      <w:r>
        <w:rPr>
          <w:rFonts w:hint="eastAsia" w:ascii="仿宋" w:hAnsi="仿宋" w:eastAsia="仿宋" w:cstheme="minorBidi"/>
          <w:sz w:val="32"/>
          <w:szCs w:val="32"/>
        </w:rPr>
        <w:t>，不断</w:t>
      </w:r>
      <w:r>
        <w:rPr>
          <w:rFonts w:ascii="仿宋" w:hAnsi="仿宋" w:eastAsia="仿宋" w:cstheme="minorBidi"/>
          <w:sz w:val="32"/>
          <w:szCs w:val="32"/>
        </w:rPr>
        <w:t>做优马铃薯、蔬菜、燕麦、油料等特色种植业</w:t>
      </w:r>
      <w:r>
        <w:rPr>
          <w:rFonts w:hint="eastAsia" w:ascii="仿宋" w:hAnsi="仿宋" w:eastAsia="仿宋" w:cstheme="minorBidi"/>
          <w:sz w:val="32"/>
          <w:szCs w:val="32"/>
        </w:rPr>
        <w:t>。</w:t>
      </w:r>
    </w:p>
    <w:bookmarkEnd w:id="122"/>
    <w:bookmarkEnd w:id="170"/>
    <w:bookmarkEnd w:id="171"/>
    <w:bookmarkEnd w:id="172"/>
    <w:p w14:paraId="67DA3E7D">
      <w:pPr>
        <w:pStyle w:val="4"/>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rPr>
          <w:rFonts w:ascii="Calibri Light" w:hAnsi="Calibri Light" w:cs="Times New Roman"/>
          <w:b w:val="0"/>
          <w:bCs w:val="0"/>
          <w:sz w:val="32"/>
          <w:szCs w:val="32"/>
        </w:rPr>
      </w:pPr>
      <w:bookmarkStart w:id="173" w:name="_Toc4172"/>
      <w:bookmarkStart w:id="174" w:name="_Toc59000499"/>
      <w:bookmarkStart w:id="175" w:name="_Toc28473"/>
      <w:bookmarkStart w:id="176" w:name="_Toc24769"/>
      <w:bookmarkStart w:id="177" w:name="_Toc58870091"/>
      <w:bookmarkStart w:id="178" w:name="_Toc17201"/>
      <w:bookmarkStart w:id="179" w:name="_Toc26052"/>
      <w:bookmarkStart w:id="180" w:name="_Toc260404896_WPSOffice_Level2"/>
      <w:bookmarkStart w:id="181" w:name="_Toc60561656"/>
      <w:bookmarkStart w:id="182" w:name="_Toc1210"/>
      <w:bookmarkStart w:id="183" w:name="_Toc8452"/>
      <w:r>
        <w:rPr>
          <w:rFonts w:hint="eastAsia" w:ascii="Calibri Light" w:hAnsi="Calibri Light" w:cs="Times New Roman"/>
          <w:b w:val="0"/>
          <w:bCs w:val="0"/>
          <w:sz w:val="32"/>
          <w:szCs w:val="32"/>
        </w:rPr>
        <w:t xml:space="preserve">第一节 </w:t>
      </w:r>
      <w:bookmarkEnd w:id="173"/>
      <w:bookmarkEnd w:id="174"/>
      <w:bookmarkEnd w:id="175"/>
      <w:bookmarkEnd w:id="176"/>
      <w:bookmarkEnd w:id="177"/>
      <w:r>
        <w:rPr>
          <w:rFonts w:hint="eastAsia" w:ascii="Calibri Light" w:hAnsi="Calibri Light" w:cs="Times New Roman"/>
          <w:b w:val="0"/>
          <w:bCs w:val="0"/>
          <w:sz w:val="32"/>
          <w:szCs w:val="32"/>
        </w:rPr>
        <w:t>做强</w:t>
      </w:r>
      <w:r>
        <w:rPr>
          <w:rFonts w:hint="eastAsia" w:ascii="Calibri Light" w:hAnsi="Calibri Light" w:cs="Times New Roman"/>
          <w:b w:val="0"/>
          <w:bCs w:val="0"/>
          <w:sz w:val="32"/>
          <w:szCs w:val="32"/>
          <w:lang w:eastAsia="zh-CN"/>
        </w:rPr>
        <w:t>优质</w:t>
      </w:r>
      <w:r>
        <w:rPr>
          <w:rFonts w:hint="eastAsia" w:ascii="Calibri Light" w:hAnsi="Calibri Light" w:cs="Times New Roman"/>
          <w:b w:val="0"/>
          <w:bCs w:val="0"/>
          <w:sz w:val="32"/>
          <w:szCs w:val="32"/>
        </w:rPr>
        <w:t>肉羊产业</w:t>
      </w:r>
      <w:bookmarkEnd w:id="178"/>
      <w:bookmarkEnd w:id="179"/>
      <w:bookmarkEnd w:id="180"/>
      <w:bookmarkEnd w:id="181"/>
      <w:bookmarkEnd w:id="182"/>
      <w:bookmarkEnd w:id="183"/>
    </w:p>
    <w:p w14:paraId="107C44BD">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val="0"/>
          <w:sz w:val="32"/>
          <w:szCs w:val="32"/>
        </w:rPr>
        <w:t>优化肉羊产业布局。</w:t>
      </w:r>
      <w:r>
        <w:rPr>
          <w:rFonts w:hint="eastAsia" w:ascii="仿宋" w:hAnsi="仿宋" w:eastAsia="仿宋" w:cs="仿宋"/>
          <w:sz w:val="32"/>
          <w:szCs w:val="32"/>
        </w:rPr>
        <w:t>重点在中北部和西部地区建设“锡林郭勒羊中国特色农产品优势区”，打造“中国生态羊都”金字招牌，形成以东乌珠穆沁旗、西乌珠穆沁旗、乌拉盖管理区、锡林浩特市、阿巴嘎旗为重点的乌珠穆沁羊产业基地</w:t>
      </w:r>
      <w:r>
        <w:rPr>
          <w:rFonts w:hint="eastAsia" w:ascii="仿宋" w:hAnsi="仿宋" w:eastAsia="仿宋" w:cs="仿宋"/>
          <w:sz w:val="32"/>
          <w:szCs w:val="32"/>
          <w:lang w:eastAsia="zh-CN"/>
        </w:rPr>
        <w:t>，</w:t>
      </w:r>
      <w:r>
        <w:rPr>
          <w:rFonts w:hint="eastAsia" w:ascii="仿宋" w:hAnsi="仿宋" w:eastAsia="仿宋" w:cs="仿宋"/>
          <w:sz w:val="32"/>
          <w:szCs w:val="32"/>
        </w:rPr>
        <w:t>以苏尼特左旗、苏尼特右旗和二连浩特市为重点的苏尼特羊产业基地</w:t>
      </w:r>
      <w:r>
        <w:rPr>
          <w:rFonts w:hint="eastAsia" w:ascii="仿宋" w:hAnsi="仿宋" w:eastAsia="仿宋" w:cs="仿宋"/>
          <w:sz w:val="32"/>
          <w:szCs w:val="32"/>
          <w:lang w:eastAsia="zh-CN"/>
        </w:rPr>
        <w:t>，</w:t>
      </w:r>
      <w:r>
        <w:rPr>
          <w:rFonts w:hint="eastAsia" w:ascii="仿宋" w:hAnsi="仿宋" w:eastAsia="仿宋" w:cs="仿宋"/>
          <w:sz w:val="32"/>
          <w:szCs w:val="32"/>
        </w:rPr>
        <w:t>以镶黄旗、正镶白旗、正蓝旗、太仆寺旗为重点的察哈尔羊产业基地</w:t>
      </w:r>
      <w:r>
        <w:rPr>
          <w:rFonts w:hint="eastAsia" w:ascii="仿宋" w:hAnsi="仿宋" w:eastAsia="仿宋" w:cs="仿宋"/>
          <w:sz w:val="32"/>
          <w:szCs w:val="32"/>
          <w:lang w:eastAsia="zh-CN"/>
        </w:rPr>
        <w:t>，</w:t>
      </w:r>
      <w:r>
        <w:rPr>
          <w:rFonts w:hint="eastAsia" w:ascii="仿宋" w:hAnsi="仿宋" w:eastAsia="仿宋" w:cs="仿宋"/>
          <w:sz w:val="32"/>
          <w:szCs w:val="32"/>
        </w:rPr>
        <w:t>以锡林浩特市和乌拉盖管理区国有农牧场为重点的肉羊</w:t>
      </w:r>
      <w:r>
        <w:rPr>
          <w:rFonts w:hint="eastAsia" w:ascii="仿宋" w:hAnsi="仿宋" w:eastAsia="仿宋" w:cs="仿宋"/>
          <w:sz w:val="32"/>
          <w:szCs w:val="32"/>
          <w:lang w:eastAsia="zh-CN"/>
        </w:rPr>
        <w:t>谷饲育肥</w:t>
      </w:r>
      <w:r>
        <w:rPr>
          <w:rFonts w:hint="eastAsia" w:ascii="仿宋" w:hAnsi="仿宋" w:eastAsia="仿宋" w:cs="仿宋"/>
          <w:sz w:val="32"/>
          <w:szCs w:val="32"/>
        </w:rPr>
        <w:t>产业基地，全面提升肉羊养殖效益。到2025年，全盟天然放牧羊存栏稳定在1000万只</w:t>
      </w:r>
      <w:r>
        <w:rPr>
          <w:rFonts w:hint="eastAsia" w:ascii="仿宋" w:hAnsi="仿宋" w:eastAsia="仿宋" w:cs="仿宋"/>
          <w:sz w:val="32"/>
          <w:szCs w:val="32"/>
          <w:lang w:eastAsia="zh-CN"/>
        </w:rPr>
        <w:t>，谷饲育肥羊达到200万只，羊肉产量达到</w:t>
      </w:r>
      <w:r>
        <w:rPr>
          <w:rFonts w:hint="eastAsia" w:ascii="仿宋" w:hAnsi="仿宋" w:eastAsia="仿宋" w:cs="仿宋"/>
          <w:sz w:val="32"/>
          <w:szCs w:val="32"/>
          <w:lang w:val="en-US" w:eastAsia="zh-CN"/>
        </w:rPr>
        <w:t>19万吨</w:t>
      </w:r>
      <w:r>
        <w:rPr>
          <w:rFonts w:hint="eastAsia" w:ascii="仿宋" w:hAnsi="仿宋" w:eastAsia="仿宋" w:cs="仿宋"/>
          <w:sz w:val="32"/>
          <w:szCs w:val="32"/>
        </w:rPr>
        <w:t>。</w:t>
      </w:r>
    </w:p>
    <w:p w14:paraId="60D72CD4">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val="0"/>
          <w:sz w:val="32"/>
          <w:szCs w:val="32"/>
        </w:rPr>
        <w:t>加强肉羊良繁体系建设。</w:t>
      </w:r>
      <w:r>
        <w:rPr>
          <w:rFonts w:hint="eastAsia" w:ascii="仿宋" w:hAnsi="仿宋" w:eastAsia="仿宋" w:cs="仿宋"/>
          <w:bCs/>
          <w:sz w:val="32"/>
          <w:szCs w:val="32"/>
          <w:lang w:eastAsia="zh-CN"/>
        </w:rPr>
        <w:t>抓好乌珠穆沁原种场、察哈尔种羊场为主的重点种羊场企业改制工作，开展种羊场、肉羊核心群质量提升工作，</w:t>
      </w:r>
      <w:r>
        <w:rPr>
          <w:rFonts w:hint="eastAsia" w:ascii="仿宋" w:hAnsi="仿宋" w:eastAsia="仿宋" w:cs="仿宋"/>
          <w:sz w:val="32"/>
          <w:szCs w:val="32"/>
          <w:lang w:eastAsia="zh-CN"/>
        </w:rPr>
        <w:t>提升重点种羊场</w:t>
      </w:r>
      <w:r>
        <w:rPr>
          <w:rFonts w:hint="eastAsia" w:ascii="仿宋" w:hAnsi="仿宋" w:eastAsia="仿宋" w:cs="仿宋"/>
          <w:sz w:val="32"/>
          <w:szCs w:val="32"/>
          <w:lang w:val="en-US" w:eastAsia="zh-CN"/>
        </w:rPr>
        <w:t>9处，建成扩繁场120处、核心群1600群，</w:t>
      </w:r>
      <w:r>
        <w:rPr>
          <w:rFonts w:hint="eastAsia" w:ascii="仿宋" w:hAnsi="仿宋" w:eastAsia="仿宋" w:cs="仿宋"/>
          <w:sz w:val="32"/>
          <w:szCs w:val="32"/>
        </w:rPr>
        <w:t>形成“重点种羊场+扩繁场+核心群”一体化</w:t>
      </w:r>
      <w:r>
        <w:rPr>
          <w:rFonts w:hint="eastAsia" w:ascii="仿宋" w:hAnsi="仿宋" w:eastAsia="仿宋" w:cs="仿宋"/>
          <w:sz w:val="32"/>
          <w:szCs w:val="32"/>
          <w:lang w:eastAsia="zh-CN"/>
        </w:rPr>
        <w:t>发展</w:t>
      </w:r>
      <w:r>
        <w:rPr>
          <w:rFonts w:hint="eastAsia" w:ascii="仿宋" w:hAnsi="仿宋" w:eastAsia="仿宋" w:cs="仿宋"/>
          <w:sz w:val="32"/>
          <w:szCs w:val="32"/>
        </w:rPr>
        <w:t>的良种肉羊繁育体系</w:t>
      </w:r>
      <w:r>
        <w:rPr>
          <w:rFonts w:hint="eastAsia" w:ascii="仿宋" w:hAnsi="仿宋" w:eastAsia="仿宋" w:cs="仿宋"/>
          <w:sz w:val="32"/>
          <w:szCs w:val="32"/>
          <w:lang w:eastAsia="zh-CN"/>
        </w:rPr>
        <w:t>，年供优质育成种公羊能力达到3.5万只以上</w:t>
      </w:r>
      <w:r>
        <w:rPr>
          <w:rFonts w:hint="eastAsia" w:ascii="仿宋" w:hAnsi="仿宋" w:eastAsia="仿宋" w:cs="仿宋"/>
          <w:sz w:val="32"/>
          <w:szCs w:val="32"/>
        </w:rPr>
        <w:t>。地方良种区域因地制宜推行种公羊集中管理模式，加</w:t>
      </w:r>
      <w:r>
        <w:rPr>
          <w:rFonts w:hint="eastAsia" w:ascii="仿宋" w:hAnsi="仿宋" w:eastAsia="仿宋" w:cs="仿宋"/>
          <w:sz w:val="32"/>
          <w:szCs w:val="32"/>
          <w:lang w:eastAsia="zh-CN"/>
        </w:rPr>
        <w:t>大</w:t>
      </w:r>
      <w:r>
        <w:rPr>
          <w:rFonts w:hint="eastAsia" w:ascii="仿宋" w:hAnsi="仿宋" w:eastAsia="仿宋" w:cs="仿宋"/>
          <w:sz w:val="32"/>
          <w:szCs w:val="32"/>
        </w:rPr>
        <w:t>对嘎查、合作社、专业户为重点的种羊场集中管理点扶持力度，切实提高供种能力和群体质量。察哈尔羊饲养区应用德美羊开展纯繁和品种导血工作，扩大人工授精比重</w:t>
      </w:r>
      <w:r>
        <w:rPr>
          <w:rFonts w:hint="eastAsia" w:ascii="仿宋" w:hAnsi="仿宋" w:eastAsia="仿宋" w:cs="仿宋"/>
          <w:sz w:val="32"/>
          <w:szCs w:val="32"/>
          <w:lang w:eastAsia="zh-CN"/>
        </w:rPr>
        <w:t>，</w:t>
      </w:r>
      <w:r>
        <w:rPr>
          <w:rFonts w:hint="eastAsia" w:ascii="仿宋" w:hAnsi="仿宋" w:eastAsia="仿宋" w:cs="仿宋"/>
          <w:sz w:val="32"/>
          <w:szCs w:val="32"/>
        </w:rPr>
        <w:t>提高供种能力</w:t>
      </w:r>
      <w:r>
        <w:rPr>
          <w:rFonts w:hint="eastAsia" w:ascii="仿宋" w:hAnsi="仿宋" w:eastAsia="仿宋" w:cs="仿宋"/>
          <w:sz w:val="32"/>
          <w:szCs w:val="32"/>
          <w:lang w:eastAsia="zh-CN"/>
        </w:rPr>
        <w:t>，</w:t>
      </w:r>
      <w:r>
        <w:rPr>
          <w:rFonts w:hint="eastAsia" w:ascii="仿宋" w:hAnsi="仿宋" w:eastAsia="仿宋" w:cs="仿宋"/>
          <w:sz w:val="32"/>
          <w:szCs w:val="32"/>
        </w:rPr>
        <w:t>察哈尔羊人工授精率达到60%以上。</w:t>
      </w:r>
    </w:p>
    <w:p w14:paraId="3AB8B913">
      <w:pPr>
        <w:pStyle w:val="2"/>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val="0"/>
          <w:sz w:val="32"/>
          <w:szCs w:val="32"/>
        </w:rPr>
        <w:t>适度开展</w:t>
      </w:r>
      <w:r>
        <w:rPr>
          <w:rFonts w:hint="eastAsia" w:ascii="仿宋" w:hAnsi="仿宋" w:eastAsia="仿宋" w:cs="仿宋"/>
          <w:b/>
          <w:bCs w:val="0"/>
          <w:sz w:val="32"/>
          <w:szCs w:val="32"/>
          <w:lang w:eastAsia="zh-CN"/>
        </w:rPr>
        <w:t>谷饲</w:t>
      </w:r>
      <w:r>
        <w:rPr>
          <w:rFonts w:hint="eastAsia" w:ascii="仿宋" w:hAnsi="仿宋" w:eastAsia="仿宋" w:cs="仿宋"/>
          <w:b/>
          <w:bCs w:val="0"/>
          <w:sz w:val="32"/>
          <w:szCs w:val="32"/>
        </w:rPr>
        <w:t>育肥。</w:t>
      </w:r>
      <w:r>
        <w:rPr>
          <w:rFonts w:hint="eastAsia" w:ascii="仿宋" w:hAnsi="仿宋" w:eastAsia="仿宋" w:cs="仿宋"/>
          <w:sz w:val="32"/>
          <w:szCs w:val="32"/>
        </w:rPr>
        <w:t>将经济杂交、</w:t>
      </w:r>
      <w:r>
        <w:rPr>
          <w:rFonts w:hint="eastAsia" w:ascii="仿宋" w:hAnsi="仿宋" w:eastAsia="仿宋" w:cs="仿宋"/>
          <w:sz w:val="32"/>
          <w:szCs w:val="32"/>
          <w:lang w:eastAsia="zh-CN"/>
        </w:rPr>
        <w:t>谷饲</w:t>
      </w:r>
      <w:r>
        <w:rPr>
          <w:rFonts w:hint="eastAsia" w:ascii="仿宋" w:hAnsi="仿宋" w:eastAsia="仿宋" w:cs="仿宋"/>
          <w:sz w:val="32"/>
          <w:szCs w:val="32"/>
        </w:rPr>
        <w:t>育肥和错季出栏作为提高肉羊个体产值和养殖效益的重要抓手，坚持市场导向，</w:t>
      </w:r>
      <w:r>
        <w:rPr>
          <w:rFonts w:hint="eastAsia" w:ascii="仿宋" w:hAnsi="仿宋" w:eastAsia="仿宋" w:cs="仿宋"/>
          <w:sz w:val="32"/>
          <w:szCs w:val="32"/>
          <w:lang w:eastAsia="zh-CN"/>
        </w:rPr>
        <w:t>在</w:t>
      </w:r>
      <w:r>
        <w:rPr>
          <w:rFonts w:hint="eastAsia" w:ascii="仿宋" w:hAnsi="仿宋" w:eastAsia="仿宋" w:cs="仿宋"/>
          <w:sz w:val="32"/>
          <w:szCs w:val="32"/>
        </w:rPr>
        <w:t>国有农牧场适度开展肉羊杂交育肥，以察哈尔羊、杜泊羊、萨福克羊为父本，乌珠穆沁羊、苏尼特羊为母本，采用同期发情、人工授精技术进行经济杂交，</w:t>
      </w:r>
      <w:r>
        <w:rPr>
          <w:rFonts w:hint="eastAsia" w:ascii="仿宋" w:hAnsi="仿宋" w:eastAsia="仿宋" w:cs="仿宋"/>
          <w:sz w:val="32"/>
          <w:szCs w:val="32"/>
          <w:lang w:eastAsia="zh-CN"/>
        </w:rPr>
        <w:t>生产的</w:t>
      </w:r>
      <w:r>
        <w:rPr>
          <w:rFonts w:hint="eastAsia" w:ascii="仿宋" w:hAnsi="仿宋" w:eastAsia="仿宋" w:cs="仿宋"/>
          <w:sz w:val="32"/>
          <w:szCs w:val="32"/>
        </w:rPr>
        <w:t>杂一代公母羔羊</w:t>
      </w:r>
      <w:r>
        <w:rPr>
          <w:rFonts w:hint="eastAsia" w:ascii="仿宋" w:hAnsi="仿宋" w:eastAsia="仿宋" w:cs="仿宋"/>
          <w:sz w:val="32"/>
          <w:szCs w:val="32"/>
          <w:lang w:eastAsia="zh-CN"/>
        </w:rPr>
        <w:t>，</w:t>
      </w:r>
      <w:r>
        <w:rPr>
          <w:rFonts w:hint="eastAsia" w:ascii="仿宋" w:hAnsi="仿宋" w:eastAsia="仿宋" w:cs="仿宋"/>
          <w:sz w:val="32"/>
          <w:szCs w:val="32"/>
        </w:rPr>
        <w:t>通过</w:t>
      </w:r>
      <w:r>
        <w:rPr>
          <w:rFonts w:hint="eastAsia" w:ascii="仿宋" w:hAnsi="仿宋" w:eastAsia="仿宋" w:cs="仿宋"/>
          <w:sz w:val="32"/>
          <w:szCs w:val="32"/>
          <w:lang w:eastAsia="zh-CN"/>
        </w:rPr>
        <w:t>谷饲</w:t>
      </w:r>
      <w:r>
        <w:rPr>
          <w:rFonts w:hint="eastAsia" w:ascii="仿宋" w:hAnsi="仿宋" w:eastAsia="仿宋" w:cs="仿宋"/>
          <w:sz w:val="32"/>
          <w:szCs w:val="32"/>
        </w:rPr>
        <w:t>育肥全部出栏。</w:t>
      </w:r>
    </w:p>
    <w:p w14:paraId="05897AC5">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theme="minorBidi"/>
          <w:sz w:val="32"/>
          <w:szCs w:val="32"/>
        </w:rPr>
      </w:pPr>
      <w:r>
        <w:rPr>
          <w:rFonts w:hint="eastAsia" w:ascii="仿宋" w:hAnsi="仿宋" w:eastAsia="仿宋" w:cs="仿宋"/>
          <w:b/>
          <w:bCs w:val="0"/>
          <w:sz w:val="32"/>
          <w:szCs w:val="32"/>
        </w:rPr>
        <w:t>提高饲养管理水平。</w:t>
      </w:r>
      <w:r>
        <w:rPr>
          <w:rFonts w:hint="eastAsia" w:ascii="仿宋" w:hAnsi="仿宋" w:eastAsia="仿宋" w:cs="仿宋"/>
          <w:sz w:val="32"/>
          <w:szCs w:val="32"/>
        </w:rPr>
        <w:t>实施肉羊</w:t>
      </w:r>
      <w:r>
        <w:rPr>
          <w:rFonts w:ascii="仿宋" w:hAnsi="仿宋" w:eastAsia="仿宋" w:cstheme="minorBidi"/>
          <w:sz w:val="32"/>
          <w:szCs w:val="32"/>
        </w:rPr>
        <w:t>标准化规模养殖项目，突出解决</w:t>
      </w:r>
      <w:r>
        <w:rPr>
          <w:rFonts w:hint="eastAsia" w:ascii="仿宋" w:hAnsi="仿宋" w:eastAsia="仿宋" w:cstheme="minorBidi"/>
          <w:sz w:val="32"/>
          <w:szCs w:val="32"/>
          <w:lang w:eastAsia="zh-CN"/>
        </w:rPr>
        <w:t>好</w:t>
      </w:r>
      <w:r>
        <w:rPr>
          <w:rFonts w:ascii="仿宋" w:hAnsi="仿宋" w:eastAsia="仿宋" w:cstheme="minorBidi"/>
          <w:sz w:val="32"/>
          <w:szCs w:val="32"/>
        </w:rPr>
        <w:t>饲喂等环节</w:t>
      </w:r>
      <w:r>
        <w:rPr>
          <w:rFonts w:hint="eastAsia" w:ascii="仿宋" w:hAnsi="仿宋" w:eastAsia="仿宋" w:cstheme="minorBidi"/>
          <w:sz w:val="32"/>
          <w:szCs w:val="32"/>
        </w:rPr>
        <w:t>智能化、机</w:t>
      </w:r>
      <w:r>
        <w:rPr>
          <w:rFonts w:ascii="仿宋" w:hAnsi="仿宋" w:eastAsia="仿宋" w:cstheme="minorBidi"/>
          <w:sz w:val="32"/>
          <w:szCs w:val="32"/>
        </w:rPr>
        <w:t>械化短板，加快转变传统的饲养管理和经营方式，提高标准化、科学化饲养管理水平</w:t>
      </w:r>
      <w:r>
        <w:rPr>
          <w:rFonts w:hint="eastAsia" w:ascii="仿宋" w:hAnsi="仿宋" w:eastAsia="仿宋" w:cstheme="minorBidi"/>
          <w:sz w:val="32"/>
          <w:szCs w:val="32"/>
        </w:rPr>
        <w:t>，</w:t>
      </w:r>
      <w:r>
        <w:rPr>
          <w:rFonts w:ascii="仿宋" w:hAnsi="仿宋" w:eastAsia="仿宋" w:cstheme="minorBidi"/>
          <w:sz w:val="32"/>
          <w:szCs w:val="32"/>
        </w:rPr>
        <w:t>改造升级规模养殖场（户）棚圈等基础设施，推广使用暖棚设施、提前配种等技术规范</w:t>
      </w:r>
      <w:r>
        <w:rPr>
          <w:rFonts w:hint="eastAsia" w:ascii="仿宋" w:hAnsi="仿宋" w:eastAsia="仿宋" w:cstheme="minorBidi"/>
          <w:sz w:val="32"/>
          <w:szCs w:val="32"/>
        </w:rPr>
        <w:t>。</w:t>
      </w:r>
      <w:bookmarkStart w:id="184" w:name="_Toc58870092"/>
      <w:bookmarkStart w:id="185" w:name="_Toc59000500"/>
      <w:bookmarkStart w:id="186" w:name="_Toc23796"/>
      <w:bookmarkStart w:id="187" w:name="_Toc60561657"/>
      <w:bookmarkStart w:id="188" w:name="_Toc11846"/>
      <w:bookmarkStart w:id="189" w:name="_Toc17300"/>
      <w:bookmarkStart w:id="190" w:name="_Toc752678536_WPSOffice_Level2"/>
      <w:bookmarkStart w:id="191" w:name="_Toc19548"/>
      <w:bookmarkStart w:id="192" w:name="_Toc30585"/>
      <w:bookmarkStart w:id="193" w:name="_Toc700"/>
      <w:bookmarkStart w:id="194" w:name="_Toc20783"/>
    </w:p>
    <w:p w14:paraId="6A05F88F">
      <w:pPr>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第二节 </w:t>
      </w:r>
      <w:bookmarkEnd w:id="184"/>
      <w:bookmarkEnd w:id="185"/>
      <w:r>
        <w:rPr>
          <w:rFonts w:hint="eastAsia" w:ascii="黑体" w:hAnsi="黑体" w:eastAsia="黑体" w:cs="黑体"/>
          <w:b w:val="0"/>
          <w:bCs w:val="0"/>
          <w:sz w:val="32"/>
          <w:szCs w:val="32"/>
        </w:rPr>
        <w:t>做大优质肉牛产业</w:t>
      </w:r>
      <w:bookmarkEnd w:id="186"/>
      <w:bookmarkEnd w:id="187"/>
      <w:bookmarkEnd w:id="188"/>
      <w:bookmarkEnd w:id="189"/>
      <w:bookmarkEnd w:id="190"/>
      <w:bookmarkEnd w:id="191"/>
    </w:p>
    <w:bookmarkEnd w:id="192"/>
    <w:bookmarkEnd w:id="193"/>
    <w:bookmarkEnd w:id="194"/>
    <w:p w14:paraId="5ED677E0">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red"/>
        </w:rPr>
      </w:pPr>
      <w:r>
        <w:rPr>
          <w:rFonts w:hint="eastAsia" w:ascii="仿宋" w:hAnsi="仿宋" w:eastAsia="仿宋" w:cs="仿宋"/>
          <w:b/>
          <w:bCs w:val="0"/>
          <w:sz w:val="32"/>
          <w:szCs w:val="32"/>
        </w:rPr>
        <w:t>优化肉牛产业布局。</w:t>
      </w:r>
      <w:r>
        <w:rPr>
          <w:rFonts w:hint="eastAsia" w:ascii="仿宋" w:hAnsi="仿宋" w:eastAsia="仿宋" w:cs="仿宋"/>
          <w:sz w:val="32"/>
          <w:szCs w:val="32"/>
        </w:rPr>
        <w:t>重点在南部区域、沙区和主要水系流域建设以西门塔尔牛为主</w:t>
      </w:r>
      <w:r>
        <w:rPr>
          <w:rFonts w:hint="eastAsia" w:ascii="仿宋" w:hAnsi="仿宋" w:eastAsia="仿宋" w:cs="仿宋"/>
          <w:sz w:val="32"/>
          <w:szCs w:val="32"/>
          <w:lang w:eastAsia="zh-CN"/>
        </w:rPr>
        <w:t>、</w:t>
      </w:r>
      <w:r>
        <w:rPr>
          <w:rFonts w:hint="eastAsia" w:ascii="仿宋" w:hAnsi="仿宋" w:eastAsia="仿宋" w:cs="仿宋"/>
          <w:sz w:val="32"/>
          <w:szCs w:val="32"/>
        </w:rPr>
        <w:t>安格斯牛为辅的优质良种肉牛产业带。全域发展西门塔尔牛，以乌拉盖管理区、东乌珠穆沁旗、正蓝旗、太仆寺旗等地区为重点发展安格斯牛，以西乌珠穆沁旗为重点发展优质夏洛莱牛，</w:t>
      </w:r>
      <w:r>
        <w:rPr>
          <w:rFonts w:hint="eastAsia" w:ascii="仿宋" w:hAnsi="仿宋" w:eastAsia="仿宋" w:cs="仿宋"/>
          <w:sz w:val="32"/>
          <w:szCs w:val="32"/>
          <w:lang w:eastAsia="zh-CN"/>
        </w:rPr>
        <w:t>着力推动</w:t>
      </w:r>
      <w:r>
        <w:rPr>
          <w:rFonts w:hint="eastAsia" w:ascii="仿宋" w:hAnsi="仿宋" w:eastAsia="仿宋" w:cs="仿宋"/>
          <w:sz w:val="32"/>
          <w:szCs w:val="32"/>
        </w:rPr>
        <w:t>实现</w:t>
      </w:r>
      <w:r>
        <w:rPr>
          <w:rFonts w:hint="eastAsia" w:ascii="仿宋" w:hAnsi="仿宋" w:eastAsia="仿宋" w:cs="仿宋"/>
          <w:sz w:val="32"/>
          <w:szCs w:val="32"/>
          <w:lang w:eastAsia="zh-CN"/>
        </w:rPr>
        <w:t>规模养殖</w:t>
      </w:r>
      <w:r>
        <w:rPr>
          <w:rFonts w:hint="eastAsia" w:ascii="仿宋" w:hAnsi="仿宋" w:eastAsia="仿宋" w:cs="仿宋"/>
          <w:sz w:val="32"/>
          <w:szCs w:val="32"/>
        </w:rPr>
        <w:t>、精深加工、市场拓展、产业链延伸目标。到2025年，全盟肉牛存栏</w:t>
      </w:r>
      <w:r>
        <w:rPr>
          <w:rFonts w:hint="eastAsia" w:ascii="仿宋" w:hAnsi="仿宋" w:eastAsia="仿宋" w:cs="仿宋"/>
          <w:sz w:val="32"/>
          <w:szCs w:val="32"/>
          <w:lang w:eastAsia="zh-CN"/>
        </w:rPr>
        <w:t>达到</w:t>
      </w:r>
      <w:r>
        <w:rPr>
          <w:rFonts w:hint="eastAsia" w:ascii="仿宋" w:hAnsi="仿宋" w:eastAsia="仿宋" w:cs="仿宋"/>
          <w:sz w:val="32"/>
          <w:szCs w:val="32"/>
        </w:rPr>
        <w:t>200万头</w:t>
      </w:r>
      <w:r>
        <w:rPr>
          <w:rFonts w:hint="eastAsia" w:ascii="仿宋" w:hAnsi="仿宋" w:eastAsia="仿宋" w:cs="仿宋"/>
          <w:sz w:val="32"/>
          <w:szCs w:val="32"/>
          <w:lang w:eastAsia="zh-CN"/>
        </w:rPr>
        <w:t>，牛肉产量达到</w:t>
      </w:r>
      <w:r>
        <w:rPr>
          <w:rFonts w:hint="eastAsia" w:ascii="仿宋" w:hAnsi="仿宋" w:eastAsia="仿宋" w:cs="仿宋"/>
          <w:sz w:val="32"/>
          <w:szCs w:val="32"/>
          <w:lang w:val="en-US" w:eastAsia="zh-CN"/>
        </w:rPr>
        <w:t>16万吨</w:t>
      </w:r>
      <w:r>
        <w:rPr>
          <w:rFonts w:hint="eastAsia" w:ascii="仿宋" w:hAnsi="仿宋" w:eastAsia="仿宋" w:cs="仿宋"/>
          <w:sz w:val="32"/>
          <w:szCs w:val="32"/>
        </w:rPr>
        <w:t>。</w:t>
      </w:r>
    </w:p>
    <w:p w14:paraId="2CABC399">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val="0"/>
          <w:sz w:val="32"/>
          <w:szCs w:val="32"/>
        </w:rPr>
        <w:t>加强良种繁育体系建设。</w:t>
      </w:r>
      <w:r>
        <w:rPr>
          <w:rFonts w:hint="eastAsia" w:ascii="仿宋" w:hAnsi="仿宋" w:eastAsia="仿宋" w:cs="仿宋"/>
          <w:b w:val="0"/>
          <w:bCs/>
          <w:sz w:val="32"/>
          <w:szCs w:val="32"/>
          <w:lang w:eastAsia="zh-CN"/>
        </w:rPr>
        <w:t>健全以</w:t>
      </w:r>
      <w:r>
        <w:rPr>
          <w:rFonts w:hint="eastAsia" w:ascii="仿宋" w:hAnsi="仿宋" w:eastAsia="仿宋" w:cs="仿宋"/>
          <w:sz w:val="32"/>
          <w:szCs w:val="32"/>
        </w:rPr>
        <w:t>肉牛核心育种场（种畜场）+扩繁场（核心群）+扩繁群（养殖户）为主的三级良种繁育体系，重点抓好种牛场、核心群建设，提升供种能力，满足全盟良种能繁母牛需求，向本交区提供合格种公牛。持续抓好冷配工作，农区以自然村为单位、南部牧区以浩特为单位、北部牧区以家庭牧场为单位布局，</w:t>
      </w:r>
      <w:r>
        <w:rPr>
          <w:rFonts w:hint="eastAsia" w:ascii="仿宋" w:hAnsi="仿宋" w:eastAsia="仿宋" w:cs="仿宋"/>
          <w:sz w:val="32"/>
          <w:szCs w:val="32"/>
          <w:lang w:eastAsia="zh-CN"/>
        </w:rPr>
        <w:t>稳步提高冷配比重</w:t>
      </w:r>
      <w:r>
        <w:rPr>
          <w:rFonts w:hint="eastAsia" w:ascii="仿宋" w:hAnsi="仿宋" w:eastAsia="仿宋" w:cs="仿宋"/>
          <w:sz w:val="32"/>
          <w:szCs w:val="32"/>
        </w:rPr>
        <w:t>。到2025年，</w:t>
      </w:r>
      <w:r>
        <w:rPr>
          <w:rFonts w:hint="eastAsia" w:ascii="仿宋" w:hAnsi="仿宋" w:eastAsia="仿宋" w:cs="仿宋"/>
          <w:sz w:val="32"/>
          <w:szCs w:val="32"/>
          <w:lang w:eastAsia="zh-CN"/>
        </w:rPr>
        <w:t>全盟</w:t>
      </w:r>
      <w:r>
        <w:rPr>
          <w:rFonts w:hint="eastAsia" w:ascii="仿宋" w:hAnsi="仿宋" w:eastAsia="仿宋" w:cs="仿宋"/>
          <w:sz w:val="32"/>
          <w:szCs w:val="32"/>
        </w:rPr>
        <w:t>种牛场</w:t>
      </w:r>
      <w:r>
        <w:rPr>
          <w:rFonts w:hint="eastAsia" w:ascii="仿宋" w:hAnsi="仿宋" w:eastAsia="仿宋" w:cs="仿宋"/>
          <w:sz w:val="32"/>
          <w:szCs w:val="32"/>
          <w:lang w:eastAsia="zh-CN"/>
        </w:rPr>
        <w:t>达到</w:t>
      </w:r>
      <w:r>
        <w:rPr>
          <w:rFonts w:hint="eastAsia" w:ascii="仿宋" w:hAnsi="仿宋" w:eastAsia="仿宋" w:cs="仿宋"/>
          <w:sz w:val="32"/>
          <w:szCs w:val="32"/>
          <w:lang w:val="en-US" w:eastAsia="zh-CN"/>
        </w:rPr>
        <w:t>30</w:t>
      </w:r>
      <w:r>
        <w:rPr>
          <w:rFonts w:hint="eastAsia" w:ascii="仿宋" w:hAnsi="仿宋" w:eastAsia="仿宋" w:cs="仿宋"/>
          <w:sz w:val="32"/>
          <w:szCs w:val="32"/>
        </w:rPr>
        <w:t>处</w:t>
      </w:r>
      <w:r>
        <w:rPr>
          <w:rFonts w:hint="eastAsia" w:ascii="仿宋" w:hAnsi="仿宋" w:eastAsia="仿宋" w:cs="仿宋"/>
          <w:sz w:val="32"/>
          <w:szCs w:val="32"/>
          <w:lang w:eastAsia="zh-CN"/>
        </w:rPr>
        <w:t>、</w:t>
      </w:r>
      <w:r>
        <w:rPr>
          <w:rFonts w:hint="eastAsia" w:ascii="仿宋" w:hAnsi="仿宋" w:eastAsia="仿宋" w:cs="仿宋"/>
          <w:sz w:val="32"/>
          <w:szCs w:val="32"/>
        </w:rPr>
        <w:t>肉牛核心群</w:t>
      </w:r>
      <w:r>
        <w:rPr>
          <w:rFonts w:hint="eastAsia" w:ascii="仿宋" w:hAnsi="仿宋" w:eastAsia="仿宋" w:cs="仿宋"/>
          <w:sz w:val="32"/>
          <w:szCs w:val="32"/>
          <w:lang w:eastAsia="zh-CN"/>
        </w:rPr>
        <w:t>达到</w:t>
      </w:r>
      <w:r>
        <w:rPr>
          <w:rFonts w:hint="eastAsia" w:ascii="仿宋" w:hAnsi="仿宋" w:eastAsia="仿宋" w:cs="仿宋"/>
          <w:sz w:val="32"/>
          <w:szCs w:val="32"/>
        </w:rPr>
        <w:t>350群，</w:t>
      </w:r>
      <w:r>
        <w:rPr>
          <w:rFonts w:hint="eastAsia" w:ascii="仿宋" w:hAnsi="仿宋" w:eastAsia="仿宋" w:cs="仿宋"/>
          <w:sz w:val="32"/>
          <w:szCs w:val="32"/>
          <w:lang w:eastAsia="zh-CN"/>
        </w:rPr>
        <w:t>肉牛</w:t>
      </w:r>
      <w:r>
        <w:rPr>
          <w:rFonts w:hint="eastAsia" w:ascii="仿宋" w:hAnsi="仿宋" w:eastAsia="仿宋" w:cs="仿宋"/>
          <w:sz w:val="32"/>
          <w:szCs w:val="32"/>
        </w:rPr>
        <w:t>冷配比重达到50%以上，本交区全部选用三代以上合格种公牛配种。</w:t>
      </w:r>
    </w:p>
    <w:p w14:paraId="68664532">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val="0"/>
          <w:sz w:val="32"/>
          <w:szCs w:val="32"/>
        </w:rPr>
        <w:t>抓好育成牛培育保护。</w:t>
      </w:r>
      <w:r>
        <w:rPr>
          <w:rFonts w:hint="eastAsia" w:ascii="仿宋" w:hAnsi="仿宋" w:eastAsia="仿宋" w:cs="仿宋"/>
          <w:sz w:val="32"/>
          <w:szCs w:val="32"/>
        </w:rPr>
        <w:t>以养殖大户、农牧民合作社为主体开展后备母牛、种公牛培育，鼓励具备条件的地区建设标准化规模化养殖场，发展育成牛培育新型经营主体，加强盟内调剂力度，</w:t>
      </w:r>
      <w:r>
        <w:rPr>
          <w:rFonts w:hint="eastAsia" w:ascii="仿宋" w:hAnsi="仿宋" w:eastAsia="仿宋" w:cs="仿宋"/>
          <w:sz w:val="32"/>
          <w:szCs w:val="32"/>
          <w:lang w:eastAsia="zh-CN"/>
        </w:rPr>
        <w:t>有效</w:t>
      </w:r>
      <w:r>
        <w:rPr>
          <w:rFonts w:hint="eastAsia" w:ascii="仿宋" w:hAnsi="仿宋" w:eastAsia="仿宋" w:cs="仿宋"/>
          <w:sz w:val="32"/>
          <w:szCs w:val="32"/>
        </w:rPr>
        <w:t>解决良种牛外流及引进牛源短缺问题。</w:t>
      </w:r>
    </w:p>
    <w:p w14:paraId="6E24701B">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theme="minorBidi"/>
          <w:sz w:val="32"/>
          <w:szCs w:val="32"/>
        </w:rPr>
      </w:pPr>
      <w:r>
        <w:rPr>
          <w:rFonts w:hint="eastAsia" w:ascii="仿宋" w:hAnsi="仿宋" w:eastAsia="仿宋" w:cs="仿宋"/>
          <w:b/>
          <w:bCs w:val="0"/>
          <w:sz w:val="32"/>
          <w:szCs w:val="32"/>
        </w:rPr>
        <w:t>加快发展肉牛育肥产业。</w:t>
      </w:r>
      <w:r>
        <w:rPr>
          <w:rFonts w:hint="eastAsia" w:ascii="仿宋" w:hAnsi="仿宋" w:eastAsia="仿宋" w:cs="仿宋"/>
          <w:sz w:val="32"/>
          <w:szCs w:val="32"/>
        </w:rPr>
        <w:t>以南部</w:t>
      </w:r>
      <w:r>
        <w:rPr>
          <w:rFonts w:hint="eastAsia" w:ascii="仿宋" w:hAnsi="仿宋" w:eastAsia="仿宋" w:cstheme="minorBidi"/>
          <w:sz w:val="32"/>
          <w:szCs w:val="32"/>
        </w:rPr>
        <w:t>旗县和锡林浩特市、阿巴嘎旗、西乌珠穆沁旗等地区为重点，发展肉牛育肥产业。鼓励养殖户进行改良配种，生产优质犊牛；支持合作社</w:t>
      </w:r>
      <w:r>
        <w:rPr>
          <w:rFonts w:hint="eastAsia" w:ascii="仿宋" w:hAnsi="仿宋" w:eastAsia="仿宋" w:cstheme="minorBidi"/>
          <w:sz w:val="32"/>
          <w:szCs w:val="32"/>
          <w:lang w:eastAsia="zh-CN"/>
        </w:rPr>
        <w:t>、农牧场和专业户</w:t>
      </w:r>
      <w:r>
        <w:rPr>
          <w:rFonts w:hint="eastAsia" w:ascii="仿宋" w:hAnsi="仿宋" w:eastAsia="仿宋" w:cstheme="minorBidi"/>
          <w:sz w:val="32"/>
          <w:szCs w:val="32"/>
        </w:rPr>
        <w:t>开展育成牛培育，提供合格架子牛；</w:t>
      </w:r>
      <w:r>
        <w:rPr>
          <w:rFonts w:hint="eastAsia" w:ascii="仿宋" w:hAnsi="仿宋" w:eastAsia="仿宋" w:cstheme="minorBidi"/>
          <w:sz w:val="32"/>
          <w:szCs w:val="32"/>
          <w:lang w:eastAsia="zh-CN"/>
        </w:rPr>
        <w:t>支持</w:t>
      </w:r>
      <w:r>
        <w:rPr>
          <w:rFonts w:ascii="仿宋" w:hAnsi="仿宋" w:eastAsia="仿宋" w:cstheme="minorBidi"/>
          <w:sz w:val="32"/>
          <w:szCs w:val="32"/>
        </w:rPr>
        <w:t>龙头育肥加工企业（场）建设千头、万头以上规模大型育肥基地</w:t>
      </w:r>
      <w:r>
        <w:rPr>
          <w:rFonts w:hint="eastAsia" w:ascii="仿宋" w:hAnsi="仿宋" w:eastAsia="仿宋" w:cstheme="minorBidi"/>
          <w:sz w:val="32"/>
          <w:szCs w:val="32"/>
          <w:lang w:eastAsia="zh-CN"/>
        </w:rPr>
        <w:t>开展</w:t>
      </w:r>
      <w:r>
        <w:rPr>
          <w:rFonts w:ascii="仿宋" w:hAnsi="仿宋" w:eastAsia="仿宋" w:cstheme="minorBidi"/>
          <w:sz w:val="32"/>
          <w:szCs w:val="32"/>
        </w:rPr>
        <w:t>强度育肥。到2025年，全盟</w:t>
      </w:r>
      <w:r>
        <w:rPr>
          <w:rFonts w:hint="eastAsia" w:ascii="仿宋" w:hAnsi="仿宋" w:eastAsia="仿宋" w:cstheme="minorBidi"/>
          <w:sz w:val="32"/>
          <w:szCs w:val="32"/>
          <w:lang w:eastAsia="zh-CN"/>
        </w:rPr>
        <w:t>规模化肉牛育肥场达到</w:t>
      </w:r>
      <w:r>
        <w:rPr>
          <w:rFonts w:hint="eastAsia" w:ascii="仿宋" w:hAnsi="仿宋" w:eastAsia="仿宋" w:cstheme="minorBidi"/>
          <w:sz w:val="32"/>
          <w:szCs w:val="32"/>
          <w:lang w:val="en-US" w:eastAsia="zh-CN"/>
        </w:rPr>
        <w:t>65处，</w:t>
      </w:r>
      <w:r>
        <w:rPr>
          <w:rFonts w:ascii="仿宋" w:hAnsi="仿宋" w:eastAsia="仿宋" w:cstheme="minorBidi"/>
          <w:sz w:val="32"/>
          <w:szCs w:val="32"/>
        </w:rPr>
        <w:t>肉牛加工能力达到30万头以上。</w:t>
      </w:r>
    </w:p>
    <w:p w14:paraId="3C817AEE">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theme="minorBidi"/>
          <w:sz w:val="32"/>
          <w:szCs w:val="32"/>
        </w:rPr>
      </w:pPr>
      <w:r>
        <w:rPr>
          <w:rFonts w:hint="eastAsia" w:ascii="仿宋" w:hAnsi="仿宋" w:eastAsia="仿宋" w:cs="仿宋"/>
          <w:b/>
          <w:bCs w:val="0"/>
          <w:sz w:val="32"/>
          <w:szCs w:val="32"/>
        </w:rPr>
        <w:t>提高饲养管理水平。</w:t>
      </w:r>
      <w:r>
        <w:rPr>
          <w:rFonts w:ascii="仿宋" w:hAnsi="仿宋" w:eastAsia="仿宋" w:cstheme="minorBidi"/>
          <w:sz w:val="32"/>
          <w:szCs w:val="32"/>
        </w:rPr>
        <w:t>将核心群养殖户培育成科学饲养及繁成率示范户，发挥核心群示范带动作用。注重转变饲养方式，推行农区全</w:t>
      </w:r>
      <w:r>
        <w:rPr>
          <w:rFonts w:hint="eastAsia" w:ascii="仿宋" w:hAnsi="仿宋" w:eastAsia="仿宋" w:cstheme="minorBidi"/>
          <w:sz w:val="32"/>
          <w:szCs w:val="32"/>
          <w:lang w:eastAsia="zh-CN"/>
        </w:rPr>
        <w:t>谷饲</w:t>
      </w:r>
      <w:r>
        <w:rPr>
          <w:rFonts w:ascii="仿宋" w:hAnsi="仿宋" w:eastAsia="仿宋" w:cstheme="minorBidi"/>
          <w:sz w:val="32"/>
          <w:szCs w:val="32"/>
        </w:rPr>
        <w:t>、南部牧区半</w:t>
      </w:r>
      <w:r>
        <w:rPr>
          <w:rFonts w:hint="eastAsia" w:ascii="仿宋" w:hAnsi="仿宋" w:eastAsia="仿宋" w:cstheme="minorBidi"/>
          <w:sz w:val="32"/>
          <w:szCs w:val="32"/>
          <w:lang w:eastAsia="zh-CN"/>
        </w:rPr>
        <w:t>谷饲</w:t>
      </w:r>
      <w:r>
        <w:rPr>
          <w:rFonts w:ascii="仿宋" w:hAnsi="仿宋" w:eastAsia="仿宋" w:cstheme="minorBidi"/>
          <w:sz w:val="32"/>
          <w:szCs w:val="32"/>
        </w:rPr>
        <w:t>半放牧、北部牧区放牧加补饲的饲养方式，形成北部生态放养</w:t>
      </w:r>
      <w:r>
        <w:rPr>
          <w:rFonts w:hint="eastAsia" w:ascii="仿宋" w:hAnsi="仿宋" w:eastAsia="仿宋" w:cstheme="minorBidi"/>
          <w:sz w:val="32"/>
          <w:szCs w:val="32"/>
          <w:lang w:eastAsia="zh-CN"/>
        </w:rPr>
        <w:t>、</w:t>
      </w:r>
      <w:r>
        <w:rPr>
          <w:rFonts w:ascii="仿宋" w:hAnsi="仿宋" w:eastAsia="仿宋" w:cstheme="minorBidi"/>
          <w:sz w:val="32"/>
          <w:szCs w:val="32"/>
        </w:rPr>
        <w:t>南部</w:t>
      </w:r>
      <w:r>
        <w:rPr>
          <w:rFonts w:hint="eastAsia" w:ascii="仿宋" w:hAnsi="仿宋" w:eastAsia="仿宋" w:cstheme="minorBidi"/>
          <w:sz w:val="32"/>
          <w:szCs w:val="32"/>
          <w:lang w:eastAsia="zh-CN"/>
        </w:rPr>
        <w:t>谷饲</w:t>
      </w:r>
      <w:r>
        <w:rPr>
          <w:rFonts w:ascii="仿宋" w:hAnsi="仿宋" w:eastAsia="仿宋" w:cstheme="minorBidi"/>
          <w:sz w:val="32"/>
          <w:szCs w:val="32"/>
        </w:rPr>
        <w:t>圈养的优质肉牛产业发展新格局。注重营养搭配，大力推广全混日粮（TMR）饲喂模式和标准化饲养技术，重点解决好过冬畜补饲问题。加强农牧民算账养畜、科学养牛宣传引导，创建一批算账养畜示范户。到2025年，肉牛繁殖成活率达到85%以上。</w:t>
      </w:r>
    </w:p>
    <w:p w14:paraId="7A65CE29">
      <w:pPr>
        <w:pStyle w:val="4"/>
        <w:pageBreakBefore w:val="0"/>
        <w:widowControl w:val="0"/>
        <w:kinsoku/>
        <w:wordWrap/>
        <w:overflowPunct/>
        <w:topLinePunct w:val="0"/>
        <w:autoSpaceDE/>
        <w:autoSpaceDN/>
        <w:bidi w:val="0"/>
        <w:adjustRightInd/>
        <w:snapToGrid/>
        <w:spacing w:before="156" w:beforeLines="50" w:after="156" w:afterLines="50" w:line="600" w:lineRule="exact"/>
        <w:ind w:firstLine="640" w:firstLineChars="200"/>
        <w:textAlignment w:val="auto"/>
        <w:rPr>
          <w:rFonts w:ascii="黑体" w:hAnsi="黑体" w:cs="黑体"/>
          <w:b w:val="0"/>
          <w:bCs w:val="0"/>
          <w:sz w:val="32"/>
          <w:szCs w:val="32"/>
        </w:rPr>
      </w:pPr>
      <w:bookmarkStart w:id="195" w:name="_Toc10874"/>
      <w:bookmarkStart w:id="196" w:name="_Toc6683"/>
      <w:bookmarkStart w:id="197" w:name="_Toc15579"/>
      <w:bookmarkStart w:id="198" w:name="_Toc1369886222_WPSOffice_Level2"/>
      <w:bookmarkStart w:id="199" w:name="_Toc633"/>
      <w:r>
        <w:rPr>
          <w:rFonts w:hint="eastAsia" w:ascii="Calibri Light" w:hAnsi="Calibri Light" w:cs="Times New Roman"/>
          <w:b w:val="0"/>
          <w:bCs w:val="0"/>
          <w:sz w:val="32"/>
          <w:szCs w:val="32"/>
        </w:rPr>
        <w:t>第三节 全面实施奶业振兴</w:t>
      </w:r>
      <w:bookmarkEnd w:id="195"/>
      <w:bookmarkEnd w:id="196"/>
      <w:bookmarkEnd w:id="197"/>
      <w:bookmarkEnd w:id="198"/>
      <w:bookmarkEnd w:id="199"/>
    </w:p>
    <w:p w14:paraId="7E8DD924">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val="0"/>
          <w:sz w:val="32"/>
          <w:szCs w:val="32"/>
        </w:rPr>
        <w:t>优化奶产业布局。</w:t>
      </w:r>
      <w:r>
        <w:rPr>
          <w:rFonts w:hint="eastAsia" w:ascii="仿宋" w:hAnsi="仿宋" w:eastAsia="仿宋" w:cs="仿宋"/>
          <w:sz w:val="32"/>
          <w:szCs w:val="32"/>
        </w:rPr>
        <w:t>以正蓝旗、正镶白旗、镶黄旗、锡林浩特市、阿巴嘎旗</w:t>
      </w:r>
      <w:r>
        <w:rPr>
          <w:rFonts w:hint="eastAsia" w:ascii="仿宋" w:hAnsi="仿宋" w:eastAsia="仿宋" w:cs="仿宋"/>
          <w:sz w:val="32"/>
          <w:szCs w:val="32"/>
          <w:lang w:eastAsia="zh-CN"/>
        </w:rPr>
        <w:t>等地区</w:t>
      </w:r>
      <w:r>
        <w:rPr>
          <w:rFonts w:hint="eastAsia" w:ascii="仿宋" w:hAnsi="仿宋" w:eastAsia="仿宋" w:cs="仿宋"/>
          <w:sz w:val="32"/>
          <w:szCs w:val="32"/>
        </w:rPr>
        <w:t>为主，加快发展乳肉兼用西门塔尔牛，建设绿色有机奶源基地；以大中型奶牛养殖企业为主，因地制宜发展荷斯坦奶牛、娟姗牛，建设以锡林浩特市、</w:t>
      </w:r>
      <w:r>
        <w:rPr>
          <w:rFonts w:hint="eastAsia" w:ascii="仿宋" w:hAnsi="仿宋" w:eastAsia="仿宋" w:cs="仿宋"/>
          <w:sz w:val="32"/>
          <w:szCs w:val="32"/>
          <w:lang w:eastAsia="zh-CN"/>
        </w:rPr>
        <w:t>镶黄旗、</w:t>
      </w:r>
      <w:r>
        <w:rPr>
          <w:rFonts w:hint="eastAsia" w:ascii="仿宋" w:hAnsi="仿宋" w:eastAsia="仿宋" w:cs="仿宋"/>
          <w:sz w:val="32"/>
          <w:szCs w:val="32"/>
        </w:rPr>
        <w:t>正蓝旗、太仆寺旗</w:t>
      </w:r>
      <w:r>
        <w:rPr>
          <w:rFonts w:hint="eastAsia" w:ascii="仿宋" w:hAnsi="仿宋" w:eastAsia="仿宋" w:cs="仿宋"/>
          <w:sz w:val="32"/>
          <w:szCs w:val="32"/>
          <w:lang w:eastAsia="zh-CN"/>
        </w:rPr>
        <w:t>、多伦县等地区</w:t>
      </w:r>
      <w:r>
        <w:rPr>
          <w:rFonts w:hint="eastAsia" w:ascii="仿宋" w:hAnsi="仿宋" w:eastAsia="仿宋" w:cs="仿宋"/>
          <w:sz w:val="32"/>
          <w:szCs w:val="32"/>
        </w:rPr>
        <w:t>为主的高标准高质量奶源基地。为中小奶牛养殖户广泛推广应用小型挤奶设备，代替人工挤奶。积极发展牧区挤奶马、驼，以阿巴嘎旗、锡林浩特市、东乌珠穆沁旗、西乌珠穆沁旗、苏尼特左旗</w:t>
      </w:r>
      <w:r>
        <w:rPr>
          <w:rFonts w:hint="eastAsia" w:ascii="仿宋" w:hAnsi="仿宋" w:eastAsia="仿宋" w:cs="仿宋"/>
          <w:sz w:val="32"/>
          <w:szCs w:val="32"/>
          <w:lang w:eastAsia="zh-CN"/>
        </w:rPr>
        <w:t>等地区</w:t>
      </w:r>
      <w:r>
        <w:rPr>
          <w:rFonts w:hint="eastAsia" w:ascii="仿宋" w:hAnsi="仿宋" w:eastAsia="仿宋" w:cs="仿宋"/>
          <w:sz w:val="32"/>
          <w:szCs w:val="32"/>
        </w:rPr>
        <w:t>为</w:t>
      </w:r>
      <w:r>
        <w:rPr>
          <w:rFonts w:hint="eastAsia" w:ascii="仿宋" w:hAnsi="仿宋" w:eastAsia="仿宋" w:cs="仿宋"/>
          <w:sz w:val="32"/>
          <w:szCs w:val="32"/>
          <w:lang w:eastAsia="zh-CN"/>
        </w:rPr>
        <w:t>重点</w:t>
      </w:r>
      <w:r>
        <w:rPr>
          <w:rFonts w:hint="eastAsia" w:ascii="仿宋" w:hAnsi="仿宋" w:eastAsia="仿宋" w:cs="仿宋"/>
          <w:sz w:val="32"/>
          <w:szCs w:val="32"/>
        </w:rPr>
        <w:t>，发展策格</w:t>
      </w:r>
      <w:r>
        <w:rPr>
          <w:rFonts w:hint="eastAsia" w:ascii="仿宋" w:hAnsi="仿宋" w:eastAsia="仿宋" w:cs="仿宋"/>
          <w:sz w:val="32"/>
          <w:szCs w:val="32"/>
          <w:lang w:eastAsia="zh-CN"/>
        </w:rPr>
        <w:t>（马奶）</w:t>
      </w:r>
      <w:r>
        <w:rPr>
          <w:rFonts w:hint="eastAsia" w:ascii="仿宋" w:hAnsi="仿宋" w:eastAsia="仿宋" w:cs="仿宋"/>
          <w:sz w:val="32"/>
          <w:szCs w:val="32"/>
        </w:rPr>
        <w:t>产业；以苏尼特左旗、苏尼特右旗为</w:t>
      </w:r>
      <w:r>
        <w:rPr>
          <w:rFonts w:hint="eastAsia" w:ascii="仿宋" w:hAnsi="仿宋" w:eastAsia="仿宋" w:cs="仿宋"/>
          <w:sz w:val="32"/>
          <w:szCs w:val="32"/>
          <w:lang w:eastAsia="zh-CN"/>
        </w:rPr>
        <w:t>重点</w:t>
      </w:r>
      <w:r>
        <w:rPr>
          <w:rFonts w:hint="eastAsia" w:ascii="仿宋" w:hAnsi="仿宋" w:eastAsia="仿宋" w:cs="仿宋"/>
          <w:sz w:val="32"/>
          <w:szCs w:val="32"/>
        </w:rPr>
        <w:t>，统筹发展驼奶产业，培育特色高品质奶源基地。到2025年，全盟奶牛存栏达到3</w:t>
      </w:r>
      <w:r>
        <w:rPr>
          <w:rFonts w:hint="eastAsia" w:ascii="仿宋" w:hAnsi="仿宋" w:eastAsia="仿宋" w:cs="仿宋"/>
          <w:sz w:val="32"/>
          <w:szCs w:val="32"/>
          <w:lang w:val="en-US" w:eastAsia="zh-CN"/>
        </w:rPr>
        <w:t>2</w:t>
      </w:r>
      <w:r>
        <w:rPr>
          <w:rFonts w:hint="eastAsia" w:ascii="仿宋" w:hAnsi="仿宋" w:eastAsia="仿宋" w:cs="仿宋"/>
          <w:sz w:val="32"/>
          <w:szCs w:val="32"/>
        </w:rPr>
        <w:t>万头，奶产量</w:t>
      </w:r>
      <w:r>
        <w:rPr>
          <w:rFonts w:hint="eastAsia" w:ascii="仿宋" w:hAnsi="仿宋" w:eastAsia="仿宋" w:cs="仿宋"/>
          <w:sz w:val="32"/>
          <w:szCs w:val="32"/>
          <w:lang w:eastAsia="zh-CN"/>
        </w:rPr>
        <w:t>达到</w:t>
      </w:r>
      <w:r>
        <w:rPr>
          <w:rFonts w:hint="eastAsia" w:ascii="仿宋" w:hAnsi="仿宋" w:eastAsia="仿宋" w:cs="仿宋"/>
          <w:sz w:val="32"/>
          <w:szCs w:val="32"/>
        </w:rPr>
        <w:t>6</w:t>
      </w:r>
      <w:r>
        <w:rPr>
          <w:rFonts w:hint="eastAsia" w:ascii="仿宋" w:hAnsi="仿宋" w:eastAsia="仿宋" w:cs="仿宋"/>
          <w:sz w:val="32"/>
          <w:szCs w:val="32"/>
          <w:lang w:val="en-US" w:eastAsia="zh-CN"/>
        </w:rPr>
        <w:t>0</w:t>
      </w:r>
      <w:r>
        <w:rPr>
          <w:rFonts w:hint="eastAsia" w:ascii="仿宋" w:hAnsi="仿宋" w:eastAsia="仿宋" w:cs="仿宋"/>
          <w:sz w:val="32"/>
          <w:szCs w:val="32"/>
        </w:rPr>
        <w:t>万吨。</w:t>
      </w:r>
    </w:p>
    <w:p w14:paraId="62F27DB5">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sz w:val="32"/>
          <w:szCs w:val="32"/>
        </w:rPr>
      </w:pPr>
      <w:r>
        <w:rPr>
          <w:rFonts w:hint="eastAsia" w:ascii="仿宋" w:hAnsi="仿宋" w:eastAsia="仿宋" w:cs="仿宋"/>
          <w:b/>
          <w:bCs w:val="0"/>
          <w:sz w:val="32"/>
          <w:szCs w:val="32"/>
        </w:rPr>
        <w:t>提高奶业经济效益。</w:t>
      </w:r>
      <w:r>
        <w:rPr>
          <w:rFonts w:hint="eastAsia" w:ascii="仿宋" w:hAnsi="仿宋" w:eastAsia="仿宋" w:cs="仿宋"/>
          <w:sz w:val="32"/>
          <w:szCs w:val="32"/>
        </w:rPr>
        <w:t>鼓励引导家庭奶牛养殖户规模化经营，推动现有中小规模养殖场改造升级，支持大型乳品企业建设乳业创新园区，全面推行标准化生产，逐步提高科学养殖水平，稳定奶源供给，保障原奶品质。完善利益联结机制，支持生产企业、小作坊、养殖户和行业协会共同建立协商机制，稳定生鲜乳购销关系，形成价格稳定、供应充足的利益共享体系。</w:t>
      </w:r>
    </w:p>
    <w:p w14:paraId="6088F68C">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2"/>
        </w:rPr>
      </w:pPr>
      <w:bookmarkStart w:id="200" w:name="_Toc59000501"/>
      <w:bookmarkStart w:id="201" w:name="_Toc58870093"/>
      <w:bookmarkStart w:id="202" w:name="_Toc1348020955_WPSOffice_Level2"/>
      <w:bookmarkStart w:id="203" w:name="_Toc2011"/>
      <w:bookmarkStart w:id="204" w:name="_Toc12796"/>
      <w:bookmarkStart w:id="205" w:name="_Toc27699"/>
      <w:bookmarkStart w:id="206" w:name="_Toc26045"/>
      <w:bookmarkStart w:id="207" w:name="_Toc60561658"/>
      <w:bookmarkStart w:id="208" w:name="_Toc32320"/>
      <w:bookmarkStart w:id="209" w:name="_Toc20016"/>
      <w:bookmarkStart w:id="210" w:name="_Toc912"/>
      <w:r>
        <w:rPr>
          <w:rFonts w:hint="eastAsia" w:ascii="Calibri Light" w:hAnsi="Calibri Light" w:cs="Times New Roman"/>
          <w:b w:val="0"/>
          <w:bCs w:val="0"/>
          <w:sz w:val="32"/>
          <w:szCs w:val="32"/>
        </w:rPr>
        <w:t xml:space="preserve">第四节 </w:t>
      </w:r>
      <w:bookmarkEnd w:id="200"/>
      <w:bookmarkEnd w:id="201"/>
      <w:r>
        <w:rPr>
          <w:rFonts w:hint="eastAsia" w:ascii="Calibri Light" w:hAnsi="Calibri Light" w:cs="Times New Roman"/>
          <w:b w:val="0"/>
          <w:bCs w:val="0"/>
          <w:sz w:val="32"/>
          <w:szCs w:val="32"/>
        </w:rPr>
        <w:t>做精特色畜牧业</w:t>
      </w:r>
      <w:bookmarkEnd w:id="202"/>
      <w:bookmarkEnd w:id="203"/>
      <w:bookmarkEnd w:id="204"/>
      <w:bookmarkEnd w:id="205"/>
      <w:bookmarkEnd w:id="206"/>
      <w:bookmarkEnd w:id="207"/>
    </w:p>
    <w:bookmarkEnd w:id="208"/>
    <w:bookmarkEnd w:id="209"/>
    <w:bookmarkEnd w:id="210"/>
    <w:p w14:paraId="792E0DE7">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val="0"/>
          <w:sz w:val="32"/>
          <w:szCs w:val="32"/>
        </w:rPr>
        <w:t>统筹</w:t>
      </w:r>
      <w:r>
        <w:rPr>
          <w:rFonts w:hint="eastAsia" w:ascii="仿宋" w:hAnsi="仿宋" w:eastAsia="仿宋" w:cs="仿宋"/>
          <w:b/>
          <w:bCs w:val="0"/>
          <w:sz w:val="32"/>
          <w:szCs w:val="32"/>
          <w:lang w:eastAsia="zh-CN"/>
        </w:rPr>
        <w:t>推进骆驼</w:t>
      </w:r>
      <w:r>
        <w:rPr>
          <w:rFonts w:hint="eastAsia" w:ascii="仿宋" w:hAnsi="仿宋" w:eastAsia="仿宋" w:cs="仿宋"/>
          <w:b/>
          <w:bCs w:val="0"/>
          <w:sz w:val="32"/>
          <w:szCs w:val="32"/>
        </w:rPr>
        <w:t>产业发展。</w:t>
      </w:r>
      <w:r>
        <w:rPr>
          <w:rFonts w:hint="eastAsia" w:ascii="仿宋" w:hAnsi="仿宋" w:eastAsia="仿宋" w:cs="仿宋"/>
          <w:sz w:val="32"/>
          <w:szCs w:val="32"/>
        </w:rPr>
        <w:t>以苏尼特左旗、苏尼特右旗和二连浩特市为重点，</w:t>
      </w:r>
      <w:r>
        <w:rPr>
          <w:rFonts w:hint="eastAsia" w:ascii="仿宋" w:hAnsi="仿宋" w:eastAsia="仿宋" w:cs="仿宋"/>
          <w:sz w:val="32"/>
          <w:szCs w:val="32"/>
          <w:lang w:eastAsia="zh-CN"/>
        </w:rPr>
        <w:t>建设骆驼养殖基地</w:t>
      </w:r>
      <w:r>
        <w:rPr>
          <w:rFonts w:hint="eastAsia" w:ascii="仿宋" w:hAnsi="仿宋" w:eastAsia="仿宋" w:cs="仿宋"/>
          <w:sz w:val="32"/>
          <w:szCs w:val="32"/>
        </w:rPr>
        <w:t>，</w:t>
      </w:r>
      <w:r>
        <w:rPr>
          <w:rFonts w:hint="eastAsia" w:ascii="仿宋" w:hAnsi="仿宋" w:eastAsia="仿宋" w:cs="仿宋"/>
          <w:sz w:val="32"/>
          <w:szCs w:val="32"/>
          <w:lang w:eastAsia="zh-CN"/>
        </w:rPr>
        <w:t>培育发展以乳、肉、毛为主的骆驼产业</w:t>
      </w:r>
      <w:r>
        <w:rPr>
          <w:rFonts w:hint="eastAsia" w:ascii="仿宋" w:hAnsi="仿宋" w:eastAsia="仿宋" w:cs="仿宋"/>
          <w:sz w:val="32"/>
          <w:szCs w:val="32"/>
        </w:rPr>
        <w:t>。加强双峰驼良种繁育体系建设，按照“以优配优、保优去劣”原则，加强种公驼集中管理、畜种资源改良和适龄母驼规范化管理。到2025年，骆驼存栏稳定在1.5万头，建立苏尼特双峰驼选育保护基地2处，培育养殖专业户100户。</w:t>
      </w:r>
    </w:p>
    <w:p w14:paraId="24805E40">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val="0"/>
          <w:sz w:val="32"/>
          <w:szCs w:val="32"/>
        </w:rPr>
        <w:t>因地制宜发展马产业。</w:t>
      </w:r>
      <w:r>
        <w:rPr>
          <w:rFonts w:hint="eastAsia" w:ascii="仿宋" w:hAnsi="仿宋" w:eastAsia="仿宋" w:cs="仿宋"/>
          <w:sz w:val="32"/>
          <w:szCs w:val="32"/>
          <w:lang w:eastAsia="zh-CN"/>
        </w:rPr>
        <w:t>实施</w:t>
      </w:r>
      <w:r>
        <w:rPr>
          <w:rFonts w:hint="eastAsia" w:ascii="仿宋" w:hAnsi="仿宋" w:eastAsia="仿宋" w:cs="仿宋"/>
          <w:sz w:val="32"/>
          <w:szCs w:val="32"/>
        </w:rPr>
        <w:t>蒙古马保护、新品系培育、乳用型进口马扩繁和马产品开发利用等工作，着力推进“中国马都”建设，打造现代良种马繁育基地、马文化旅游基地、马竞技赛事基地</w:t>
      </w:r>
      <w:r>
        <w:rPr>
          <w:rFonts w:hint="eastAsia" w:ascii="仿宋" w:hAnsi="仿宋" w:eastAsia="仿宋" w:cs="仿宋"/>
          <w:sz w:val="32"/>
          <w:szCs w:val="32"/>
          <w:lang w:eastAsia="zh-CN"/>
        </w:rPr>
        <w:t>和</w:t>
      </w:r>
      <w:r>
        <w:rPr>
          <w:rFonts w:hint="eastAsia" w:ascii="仿宋" w:hAnsi="仿宋" w:eastAsia="仿宋" w:cs="仿宋"/>
          <w:sz w:val="32"/>
          <w:szCs w:val="32"/>
        </w:rPr>
        <w:t>马产品研发加工基地。到2025年，马存栏稳定在20万匹左右。</w:t>
      </w:r>
    </w:p>
    <w:p w14:paraId="1ED1F6F3">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2"/>
        </w:rPr>
      </w:pPr>
      <w:bookmarkStart w:id="211" w:name="_Toc59000505"/>
      <w:bookmarkStart w:id="212" w:name="_Toc58870097"/>
      <w:bookmarkStart w:id="213" w:name="_Toc1561949597_WPSOffice_Level2"/>
      <w:bookmarkStart w:id="214" w:name="_Toc18458"/>
      <w:bookmarkStart w:id="215" w:name="_Toc1069"/>
      <w:bookmarkStart w:id="216" w:name="_Toc5612"/>
      <w:bookmarkStart w:id="217" w:name="_Toc18683"/>
      <w:bookmarkStart w:id="218" w:name="_Toc60561659"/>
      <w:r>
        <w:rPr>
          <w:rFonts w:hint="eastAsia" w:ascii="Calibri Light" w:hAnsi="Calibri Light" w:cs="Times New Roman"/>
          <w:b w:val="0"/>
          <w:bCs w:val="0"/>
          <w:sz w:val="32"/>
          <w:szCs w:val="32"/>
        </w:rPr>
        <w:t xml:space="preserve">第五节 </w:t>
      </w:r>
      <w:bookmarkEnd w:id="211"/>
      <w:bookmarkEnd w:id="212"/>
      <w:r>
        <w:rPr>
          <w:rFonts w:hint="eastAsia" w:ascii="Calibri Light" w:hAnsi="Calibri Light" w:cs="Times New Roman"/>
          <w:b w:val="0"/>
          <w:bCs w:val="0"/>
          <w:sz w:val="32"/>
          <w:szCs w:val="32"/>
        </w:rPr>
        <w:t>做优特色种植业</w:t>
      </w:r>
      <w:bookmarkEnd w:id="213"/>
      <w:bookmarkEnd w:id="214"/>
      <w:bookmarkEnd w:id="215"/>
      <w:bookmarkEnd w:id="216"/>
      <w:bookmarkEnd w:id="217"/>
      <w:bookmarkEnd w:id="218"/>
    </w:p>
    <w:p w14:paraId="0B89F024">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bookmarkStart w:id="219" w:name="_Toc58870098"/>
      <w:bookmarkStart w:id="220" w:name="_Toc59000506"/>
      <w:r>
        <w:rPr>
          <w:rFonts w:hint="eastAsia" w:ascii="仿宋" w:hAnsi="仿宋" w:eastAsia="仿宋" w:cs="仿宋"/>
          <w:b/>
          <w:bCs w:val="0"/>
          <w:sz w:val="32"/>
          <w:szCs w:val="32"/>
        </w:rPr>
        <w:t>大力推进饲草产业发展。</w:t>
      </w:r>
      <w:r>
        <w:rPr>
          <w:rFonts w:hint="eastAsia" w:ascii="仿宋" w:hAnsi="仿宋" w:eastAsia="仿宋" w:cs="仿宋"/>
          <w:sz w:val="32"/>
          <w:szCs w:val="32"/>
        </w:rPr>
        <w:t>着力建设东乌珠穆沁旗、西乌珠穆沁旗、乌拉盖管理区、锡林浩特市及阿巴嘎旗部分地区集中连片规模化天然打草场。坚持“为养而种”，</w:t>
      </w:r>
      <w:r>
        <w:rPr>
          <w:rFonts w:hint="eastAsia" w:ascii="仿宋" w:hAnsi="仿宋" w:eastAsia="仿宋" w:cs="仿宋"/>
          <w:sz w:val="32"/>
          <w:szCs w:val="32"/>
          <w:lang w:eastAsia="zh-CN"/>
        </w:rPr>
        <w:t>稳步</w:t>
      </w:r>
      <w:r>
        <w:rPr>
          <w:rFonts w:hint="eastAsia" w:ascii="仿宋" w:hAnsi="仿宋" w:eastAsia="仿宋" w:cs="仿宋"/>
          <w:sz w:val="32"/>
          <w:szCs w:val="32"/>
        </w:rPr>
        <w:t>扩大青贮玉米、青谷草、青莜麦</w:t>
      </w:r>
      <w:r>
        <w:rPr>
          <w:rFonts w:hint="eastAsia" w:ascii="仿宋" w:hAnsi="仿宋" w:eastAsia="仿宋" w:cs="仿宋"/>
          <w:sz w:val="32"/>
          <w:szCs w:val="32"/>
          <w:lang w:eastAsia="zh-CN"/>
        </w:rPr>
        <w:t>、</w:t>
      </w:r>
      <w:r>
        <w:rPr>
          <w:rFonts w:hint="eastAsia" w:ascii="仿宋" w:hAnsi="仿宋" w:eastAsia="仿宋" w:cs="仿宋"/>
          <w:sz w:val="32"/>
          <w:szCs w:val="32"/>
        </w:rPr>
        <w:t>苜蓿等优良牧草种植规模，</w:t>
      </w:r>
      <w:r>
        <w:rPr>
          <w:rFonts w:hint="eastAsia" w:ascii="仿宋" w:hAnsi="仿宋" w:eastAsia="仿宋" w:cs="仿宋"/>
          <w:sz w:val="32"/>
          <w:szCs w:val="32"/>
          <w:lang w:eastAsia="zh-CN"/>
        </w:rPr>
        <w:t>提高饲草供应与草食家畜养殖规模、利用模式的适配度，促进</w:t>
      </w:r>
      <w:r>
        <w:rPr>
          <w:rFonts w:hint="eastAsia" w:ascii="仿宋" w:hAnsi="仿宋" w:eastAsia="仿宋" w:cs="仿宋"/>
          <w:sz w:val="32"/>
          <w:szCs w:val="32"/>
        </w:rPr>
        <w:t>种植业与养殖业良性</w:t>
      </w:r>
      <w:r>
        <w:rPr>
          <w:rFonts w:hint="eastAsia" w:ascii="仿宋" w:hAnsi="仿宋" w:eastAsia="仿宋" w:cs="仿宋"/>
          <w:sz w:val="32"/>
          <w:szCs w:val="32"/>
          <w:lang w:eastAsia="zh-CN"/>
        </w:rPr>
        <w:t>循环发展</w:t>
      </w:r>
      <w:r>
        <w:rPr>
          <w:rFonts w:hint="eastAsia" w:ascii="仿宋" w:hAnsi="仿宋" w:eastAsia="仿宋" w:cs="仿宋"/>
          <w:sz w:val="32"/>
          <w:szCs w:val="32"/>
        </w:rPr>
        <w:t>。加强饲草良种繁育基地建设，</w:t>
      </w:r>
      <w:r>
        <w:rPr>
          <w:rFonts w:hint="eastAsia" w:ascii="仿宋" w:hAnsi="仿宋" w:eastAsia="仿宋" w:cs="仿宋"/>
          <w:sz w:val="32"/>
          <w:szCs w:val="32"/>
          <w:lang w:eastAsia="zh-CN"/>
        </w:rPr>
        <w:t>实施</w:t>
      </w:r>
      <w:r>
        <w:rPr>
          <w:rFonts w:hint="eastAsia" w:ascii="仿宋" w:hAnsi="仿宋" w:eastAsia="仿宋" w:cs="仿宋"/>
          <w:sz w:val="32"/>
          <w:szCs w:val="32"/>
        </w:rPr>
        <w:t>“粮改饲”，推广人工种草、草田轮作、草畜配套等实用技术和机械装备。</w:t>
      </w:r>
      <w:r>
        <w:rPr>
          <w:rFonts w:hint="eastAsia" w:ascii="仿宋" w:hAnsi="仿宋" w:eastAsia="仿宋" w:cs="仿宋"/>
          <w:sz w:val="32"/>
          <w:szCs w:val="32"/>
          <w:lang w:eastAsia="zh-CN"/>
        </w:rPr>
        <w:t>支持</w:t>
      </w:r>
      <w:r>
        <w:rPr>
          <w:rFonts w:hint="eastAsia" w:ascii="仿宋" w:hAnsi="仿宋" w:eastAsia="仿宋" w:cs="仿宋"/>
          <w:sz w:val="32"/>
          <w:szCs w:val="32"/>
        </w:rPr>
        <w:t>科研院所和大专院校进行饲料用玉米、燕麦、苜蓿等优良饲草新品种的培育及推广工作。坚持“量水而行”，以北部农牧交错带和南部旗县为主推广适合耐旱、耐寒、节水的饲草品种。发挥我盟天然牧草优质品种多、营养丰富的特点，打造绿色、有机饲草品牌。完善饲草储备制度，健全旗县、苏木乡镇、嘎查村三级储草体系，保障不同季节、不同地区间稳定供给。到2025年，全盟天然打草场面积稳定在3000万亩，人工种草面积稳定在110万亩，年打储草25亿公斤。</w:t>
      </w:r>
    </w:p>
    <w:p w14:paraId="0E134DE0">
      <w:pPr>
        <w:pStyle w:val="2"/>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val="0"/>
          <w:sz w:val="32"/>
          <w:szCs w:val="32"/>
        </w:rPr>
        <w:t>加快提升现代马铃薯产业。</w:t>
      </w:r>
      <w:r>
        <w:rPr>
          <w:rFonts w:hint="eastAsia" w:ascii="仿宋" w:hAnsi="仿宋" w:eastAsia="仿宋" w:cs="仿宋"/>
          <w:sz w:val="32"/>
          <w:szCs w:val="32"/>
          <w:lang w:eastAsia="zh-CN"/>
        </w:rPr>
        <w:t>坚持</w:t>
      </w:r>
      <w:r>
        <w:rPr>
          <w:rFonts w:hint="eastAsia" w:ascii="仿宋" w:hAnsi="仿宋" w:eastAsia="仿宋" w:cs="仿宋"/>
          <w:sz w:val="32"/>
          <w:szCs w:val="32"/>
        </w:rPr>
        <w:t>“稳定面积、优化品质、提高效益”原则，</w:t>
      </w:r>
      <w:r>
        <w:rPr>
          <w:rFonts w:hint="eastAsia" w:ascii="仿宋" w:hAnsi="仿宋" w:eastAsia="仿宋" w:cs="仿宋"/>
          <w:sz w:val="32"/>
          <w:szCs w:val="32"/>
          <w:lang w:eastAsia="zh-CN"/>
        </w:rPr>
        <w:t>优化</w:t>
      </w:r>
      <w:r>
        <w:rPr>
          <w:rFonts w:hint="eastAsia" w:ascii="仿宋" w:hAnsi="仿宋" w:eastAsia="仿宋" w:cs="仿宋"/>
          <w:sz w:val="32"/>
          <w:szCs w:val="32"/>
        </w:rPr>
        <w:t>种薯和商品薯产业布局，逐步将我盟建设成为全国最有影响</w:t>
      </w:r>
      <w:r>
        <w:rPr>
          <w:rFonts w:hint="eastAsia" w:ascii="仿宋" w:hAnsi="仿宋" w:eastAsia="仿宋" w:cs="仿宋"/>
          <w:sz w:val="32"/>
          <w:szCs w:val="32"/>
          <w:lang w:eastAsia="zh-CN"/>
        </w:rPr>
        <w:t>力</w:t>
      </w:r>
      <w:r>
        <w:rPr>
          <w:rFonts w:hint="eastAsia" w:ascii="仿宋" w:hAnsi="仿宋" w:eastAsia="仿宋" w:cs="仿宋"/>
          <w:sz w:val="32"/>
          <w:szCs w:val="32"/>
        </w:rPr>
        <w:t>的马铃薯优质种薯生产基地和国家绿色优质商品薯生产基地。以太仆寺旗、多伦县、正蓝旗、正镶白旗、锡林浩特市、乌拉盖管理区为</w:t>
      </w:r>
      <w:r>
        <w:rPr>
          <w:rFonts w:hint="eastAsia" w:ascii="仿宋" w:hAnsi="仿宋" w:eastAsia="仿宋" w:cs="仿宋"/>
          <w:sz w:val="32"/>
          <w:szCs w:val="32"/>
          <w:lang w:eastAsia="zh-CN"/>
        </w:rPr>
        <w:t>主</w:t>
      </w:r>
      <w:r>
        <w:rPr>
          <w:rFonts w:hint="eastAsia" w:ascii="仿宋" w:hAnsi="仿宋" w:eastAsia="仿宋" w:cs="仿宋"/>
          <w:sz w:val="32"/>
          <w:szCs w:val="32"/>
        </w:rPr>
        <w:t>，建设种薯重点发展区</w:t>
      </w:r>
      <w:r>
        <w:rPr>
          <w:rFonts w:hint="eastAsia" w:ascii="仿宋" w:hAnsi="仿宋" w:eastAsia="仿宋" w:cs="仿宋"/>
          <w:sz w:val="32"/>
          <w:szCs w:val="32"/>
          <w:lang w:eastAsia="zh-CN"/>
        </w:rPr>
        <w:t>；</w:t>
      </w:r>
      <w:r>
        <w:rPr>
          <w:rFonts w:hint="eastAsia" w:ascii="仿宋" w:hAnsi="仿宋" w:eastAsia="仿宋" w:cs="仿宋"/>
          <w:sz w:val="32"/>
          <w:szCs w:val="32"/>
        </w:rPr>
        <w:t>以太仆寺旗、多伦县、正蓝旗、锡林浩特市、乌拉盖管理区为</w:t>
      </w:r>
      <w:r>
        <w:rPr>
          <w:rFonts w:hint="eastAsia" w:ascii="仿宋" w:hAnsi="仿宋" w:eastAsia="仿宋" w:cs="仿宋"/>
          <w:sz w:val="32"/>
          <w:szCs w:val="32"/>
          <w:lang w:eastAsia="zh-CN"/>
        </w:rPr>
        <w:t>主</w:t>
      </w:r>
      <w:r>
        <w:rPr>
          <w:rFonts w:hint="eastAsia" w:ascii="仿宋" w:hAnsi="仿宋" w:eastAsia="仿宋" w:cs="仿宋"/>
          <w:sz w:val="32"/>
          <w:szCs w:val="32"/>
        </w:rPr>
        <w:t>，建设商品薯重点发展区。扶持现代化马铃薯精深加工企业发展，带动建设专用薯扩繁专业乡、专业村和专业户。到2025年，马铃薯种薯和商品薯种植面积分别达到10万亩和70万亩</w:t>
      </w:r>
      <w:r>
        <w:rPr>
          <w:rFonts w:hint="eastAsia" w:ascii="仿宋" w:hAnsi="仿宋" w:eastAsia="仿宋" w:cs="仿宋"/>
          <w:sz w:val="32"/>
          <w:szCs w:val="32"/>
          <w:lang w:val="en-US" w:eastAsia="zh-CN"/>
        </w:rPr>
        <w:t>，产量达到30万吨</w:t>
      </w:r>
      <w:r>
        <w:rPr>
          <w:rFonts w:hint="eastAsia" w:ascii="仿宋" w:hAnsi="仿宋" w:eastAsia="仿宋" w:cs="仿宋"/>
          <w:sz w:val="32"/>
          <w:szCs w:val="32"/>
        </w:rPr>
        <w:t>。</w:t>
      </w:r>
    </w:p>
    <w:bookmarkEnd w:id="219"/>
    <w:bookmarkEnd w:id="220"/>
    <w:p w14:paraId="361C6376">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val="0"/>
          <w:sz w:val="32"/>
          <w:szCs w:val="32"/>
        </w:rPr>
        <w:t>稳步壮大冷凉蔬菜产业。</w:t>
      </w:r>
      <w:r>
        <w:rPr>
          <w:rFonts w:hint="eastAsia" w:ascii="仿宋" w:hAnsi="仿宋" w:eastAsia="仿宋" w:cs="仿宋"/>
          <w:sz w:val="32"/>
          <w:szCs w:val="32"/>
        </w:rPr>
        <w:t>以太仆寺旗、多伦县、正镶白旗、正蓝旗、锡林浩特市为重点，扩大“西兰花、胡萝卜、娃娃菜、甘蓝、西芹、</w:t>
      </w:r>
      <w:r>
        <w:rPr>
          <w:rFonts w:hint="eastAsia" w:ascii="仿宋" w:hAnsi="仿宋" w:eastAsia="仿宋" w:cs="仿宋"/>
          <w:sz w:val="32"/>
          <w:szCs w:val="32"/>
          <w:lang w:eastAsia="zh-CN"/>
        </w:rPr>
        <w:t>菜花、</w:t>
      </w:r>
      <w:r>
        <w:rPr>
          <w:rFonts w:hint="eastAsia" w:ascii="仿宋" w:hAnsi="仿宋" w:eastAsia="仿宋" w:cs="仿宋"/>
          <w:sz w:val="32"/>
          <w:szCs w:val="32"/>
        </w:rPr>
        <w:t>洋葱”等优势冷凉蔬菜种植规模。以太仆寺旗、多伦县、正蓝旗、正镶白旗、锡林浩特市、乌拉盖管理区等集中连片区域为重点</w:t>
      </w:r>
      <w:r>
        <w:rPr>
          <w:rFonts w:hint="eastAsia" w:ascii="仿宋" w:hAnsi="仿宋" w:eastAsia="仿宋" w:cs="仿宋"/>
          <w:sz w:val="32"/>
          <w:szCs w:val="32"/>
          <w:lang w:eastAsia="zh-CN"/>
        </w:rPr>
        <w:t>，</w:t>
      </w:r>
      <w:r>
        <w:rPr>
          <w:rFonts w:hint="eastAsia" w:ascii="仿宋" w:hAnsi="仿宋" w:eastAsia="仿宋" w:cs="仿宋"/>
          <w:sz w:val="32"/>
          <w:szCs w:val="32"/>
        </w:rPr>
        <w:t>发展设施蔬菜。大力推广轻简栽培、水肥一体、立体种植、绿色防控等技术。发展净菜加工和冷链物流产业，支持蔬菜外运，做精做优绿色</w:t>
      </w:r>
      <w:r>
        <w:rPr>
          <w:rFonts w:hint="eastAsia" w:ascii="仿宋" w:hAnsi="仿宋" w:eastAsia="仿宋" w:cs="仿宋"/>
          <w:sz w:val="32"/>
          <w:szCs w:val="32"/>
          <w:lang w:eastAsia="zh-CN"/>
        </w:rPr>
        <w:t>、</w:t>
      </w:r>
      <w:r>
        <w:rPr>
          <w:rFonts w:hint="eastAsia" w:ascii="仿宋" w:hAnsi="仿宋" w:eastAsia="仿宋" w:cs="仿宋"/>
          <w:sz w:val="32"/>
          <w:szCs w:val="32"/>
        </w:rPr>
        <w:t>有机</w:t>
      </w:r>
      <w:r>
        <w:rPr>
          <w:rFonts w:hint="eastAsia" w:ascii="仿宋" w:hAnsi="仿宋" w:eastAsia="仿宋" w:cs="仿宋"/>
          <w:sz w:val="32"/>
          <w:szCs w:val="32"/>
          <w:lang w:eastAsia="zh-CN"/>
        </w:rPr>
        <w:t>果蔬</w:t>
      </w:r>
      <w:r>
        <w:rPr>
          <w:rFonts w:hint="eastAsia" w:ascii="仿宋" w:hAnsi="仿宋" w:eastAsia="仿宋" w:cs="仿宋"/>
          <w:sz w:val="32"/>
          <w:szCs w:val="32"/>
        </w:rPr>
        <w:t>产品，着力打造服务盟内、面向京北的绿色有机农产品供应基地。到2025年，冷凉蔬菜和温室大棚种植面积分别达到18万亩和2万亩</w:t>
      </w:r>
      <w:r>
        <w:rPr>
          <w:rFonts w:hint="eastAsia" w:ascii="仿宋" w:hAnsi="仿宋" w:eastAsia="仿宋" w:cs="仿宋"/>
          <w:sz w:val="32"/>
          <w:szCs w:val="32"/>
          <w:lang w:eastAsia="zh-CN"/>
        </w:rPr>
        <w:t>，产量达到</w:t>
      </w:r>
      <w:r>
        <w:rPr>
          <w:rFonts w:hint="eastAsia" w:ascii="仿宋" w:hAnsi="仿宋" w:eastAsia="仿宋" w:cs="仿宋"/>
          <w:sz w:val="32"/>
          <w:szCs w:val="32"/>
          <w:lang w:val="en-US" w:eastAsia="zh-CN"/>
        </w:rPr>
        <w:t>60万吨</w:t>
      </w:r>
      <w:r>
        <w:rPr>
          <w:rFonts w:hint="eastAsia" w:ascii="仿宋" w:hAnsi="仿宋" w:eastAsia="仿宋" w:cs="仿宋"/>
          <w:sz w:val="32"/>
          <w:szCs w:val="32"/>
        </w:rPr>
        <w:t>。</w:t>
      </w:r>
    </w:p>
    <w:p w14:paraId="53B8F3EA">
      <w:pPr>
        <w:pageBreakBefore w:val="0"/>
        <w:widowControl w:val="0"/>
        <w:kinsoku/>
        <w:wordWrap/>
        <w:overflowPunct/>
        <w:topLinePunct w:val="0"/>
        <w:autoSpaceDE/>
        <w:autoSpaceDN/>
        <w:bidi w:val="0"/>
        <w:adjustRightInd/>
        <w:snapToGrid/>
        <w:spacing w:after="156" w:afterLines="50" w:line="600" w:lineRule="exact"/>
        <w:ind w:firstLine="643" w:firstLineChars="200"/>
        <w:textAlignment w:val="auto"/>
        <w:rPr>
          <w:rFonts w:ascii="仿宋" w:hAnsi="仿宋" w:eastAsia="仿宋" w:cstheme="minorBidi"/>
          <w:sz w:val="32"/>
          <w:szCs w:val="32"/>
        </w:rPr>
      </w:pPr>
      <w:r>
        <w:rPr>
          <w:rFonts w:hint="eastAsia" w:ascii="仿宋" w:hAnsi="仿宋" w:eastAsia="仿宋" w:cs="仿宋"/>
          <w:b/>
          <w:bCs w:val="0"/>
          <w:sz w:val="32"/>
          <w:szCs w:val="32"/>
        </w:rPr>
        <w:t>着力发展其他特色种植业。</w:t>
      </w:r>
      <w:r>
        <w:rPr>
          <w:rFonts w:hint="eastAsia" w:ascii="仿宋" w:hAnsi="仿宋" w:eastAsia="仿宋" w:cs="仿宋"/>
          <w:sz w:val="32"/>
          <w:szCs w:val="32"/>
        </w:rPr>
        <w:t>以太</w:t>
      </w:r>
      <w:r>
        <w:rPr>
          <w:rFonts w:ascii="仿宋" w:hAnsi="仿宋" w:eastAsia="仿宋" w:cstheme="minorBidi"/>
          <w:sz w:val="32"/>
          <w:szCs w:val="32"/>
        </w:rPr>
        <w:t>仆寺旗为重点，推进燕麦良种繁育、精深加工、产品研发和品牌营销，</w:t>
      </w:r>
      <w:r>
        <w:rPr>
          <w:rFonts w:hint="eastAsia" w:ascii="仿宋" w:hAnsi="仿宋" w:eastAsia="仿宋" w:cstheme="minorBidi"/>
          <w:sz w:val="32"/>
          <w:szCs w:val="32"/>
        </w:rPr>
        <w:t>建设</w:t>
      </w:r>
      <w:r>
        <w:rPr>
          <w:rFonts w:ascii="仿宋" w:hAnsi="仿宋" w:eastAsia="仿宋" w:cstheme="minorBidi"/>
          <w:sz w:val="32"/>
          <w:szCs w:val="32"/>
        </w:rPr>
        <w:t>“产购储加销”一体化燕麦产业基地。</w:t>
      </w:r>
      <w:r>
        <w:rPr>
          <w:rFonts w:hint="eastAsia" w:ascii="仿宋" w:hAnsi="仿宋" w:eastAsia="仿宋" w:cstheme="minorBidi"/>
          <w:sz w:val="32"/>
          <w:szCs w:val="32"/>
        </w:rPr>
        <w:t>依托</w:t>
      </w:r>
      <w:r>
        <w:rPr>
          <w:rFonts w:ascii="仿宋" w:hAnsi="仿宋" w:eastAsia="仿宋" w:cstheme="minorBidi"/>
          <w:sz w:val="32"/>
          <w:szCs w:val="32"/>
        </w:rPr>
        <w:t>“太仆寺旗藜麦”国家地理标志保护产品，引导藜麦标准化种植加工，打造具有地域优势的藜麦产业基地。发挥“红井源”名牌产品优势，</w:t>
      </w:r>
      <w:r>
        <w:rPr>
          <w:rFonts w:hint="eastAsia" w:ascii="仿宋" w:hAnsi="仿宋" w:eastAsia="仿宋" w:cstheme="minorBidi"/>
          <w:sz w:val="32"/>
          <w:szCs w:val="32"/>
          <w:lang w:eastAsia="zh-CN"/>
        </w:rPr>
        <w:t>建设</w:t>
      </w:r>
      <w:r>
        <w:rPr>
          <w:rFonts w:ascii="仿宋" w:hAnsi="仿宋" w:eastAsia="仿宋" w:cstheme="minorBidi"/>
          <w:sz w:val="32"/>
          <w:szCs w:val="32"/>
        </w:rPr>
        <w:t>地方特色胡麻种植基地。以太仆寺旗、多伦县、正蓝旗为重点，加快中</w:t>
      </w:r>
      <w:r>
        <w:rPr>
          <w:rFonts w:hint="eastAsia" w:ascii="仿宋" w:hAnsi="仿宋" w:eastAsia="仿宋" w:cstheme="minorBidi"/>
          <w:sz w:val="32"/>
          <w:szCs w:val="32"/>
          <w:lang w:eastAsia="zh-CN"/>
        </w:rPr>
        <w:t>（</w:t>
      </w:r>
      <w:r>
        <w:rPr>
          <w:rFonts w:ascii="仿宋" w:hAnsi="仿宋" w:eastAsia="仿宋" w:cstheme="minorBidi"/>
          <w:sz w:val="32"/>
          <w:szCs w:val="32"/>
        </w:rPr>
        <w:t>蒙</w:t>
      </w:r>
      <w:r>
        <w:rPr>
          <w:rFonts w:hint="eastAsia" w:ascii="仿宋" w:hAnsi="仿宋" w:eastAsia="仿宋" w:cstheme="minorBidi"/>
          <w:sz w:val="32"/>
          <w:szCs w:val="32"/>
          <w:lang w:eastAsia="zh-CN"/>
        </w:rPr>
        <w:t>）</w:t>
      </w:r>
      <w:r>
        <w:rPr>
          <w:rFonts w:ascii="仿宋" w:hAnsi="仿宋" w:eastAsia="仿宋" w:cstheme="minorBidi"/>
          <w:sz w:val="32"/>
          <w:szCs w:val="32"/>
        </w:rPr>
        <w:t>药材产业发展，提升</w:t>
      </w:r>
      <w:r>
        <w:rPr>
          <w:rFonts w:hint="eastAsia" w:ascii="仿宋" w:hAnsi="仿宋" w:eastAsia="仿宋" w:cstheme="minorBidi"/>
          <w:sz w:val="32"/>
          <w:szCs w:val="32"/>
          <w:lang w:eastAsia="zh-CN"/>
        </w:rPr>
        <w:t>药材</w:t>
      </w:r>
      <w:r>
        <w:rPr>
          <w:rFonts w:ascii="仿宋" w:hAnsi="仿宋" w:eastAsia="仿宋" w:cstheme="minorBidi"/>
          <w:sz w:val="32"/>
          <w:szCs w:val="32"/>
        </w:rPr>
        <w:t>品质。以乌拉盖管理区</w:t>
      </w:r>
      <w:r>
        <w:rPr>
          <w:rFonts w:hint="eastAsia" w:ascii="仿宋" w:hAnsi="仿宋" w:eastAsia="仿宋" w:cstheme="minorBidi"/>
          <w:sz w:val="32"/>
          <w:szCs w:val="32"/>
          <w:lang w:eastAsia="zh-CN"/>
        </w:rPr>
        <w:t>、</w:t>
      </w:r>
      <w:r>
        <w:rPr>
          <w:rFonts w:ascii="仿宋" w:hAnsi="仿宋" w:eastAsia="仿宋" w:cstheme="minorBidi"/>
          <w:sz w:val="32"/>
          <w:szCs w:val="32"/>
        </w:rPr>
        <w:t>锡林浩特市为重点，发挥“锡林河”和“白音锡勒牧场”小麦粉优势，集约发展有机小麦产业。</w:t>
      </w:r>
      <w:r>
        <w:rPr>
          <w:rFonts w:hint="eastAsia" w:ascii="仿宋" w:hAnsi="仿宋" w:eastAsia="仿宋" w:cstheme="minorBidi"/>
          <w:sz w:val="32"/>
          <w:szCs w:val="32"/>
        </w:rPr>
        <w:t>到2025年，</w:t>
      </w:r>
      <w:r>
        <w:rPr>
          <w:rFonts w:hint="eastAsia" w:ascii="仿宋" w:hAnsi="仿宋" w:eastAsia="仿宋" w:cstheme="minorBidi"/>
          <w:sz w:val="32"/>
          <w:szCs w:val="32"/>
          <w:lang w:eastAsia="zh-CN"/>
        </w:rPr>
        <w:t>特色农作物种植面积达到</w:t>
      </w:r>
      <w:r>
        <w:rPr>
          <w:rFonts w:hint="eastAsia" w:ascii="仿宋" w:hAnsi="仿宋" w:eastAsia="仿宋" w:cstheme="minorBidi"/>
          <w:sz w:val="32"/>
          <w:szCs w:val="32"/>
          <w:lang w:val="en-US" w:eastAsia="zh-CN"/>
        </w:rPr>
        <w:t>80万亩，产量达到17万吨</w:t>
      </w:r>
      <w:r>
        <w:rPr>
          <w:rFonts w:hint="eastAsia" w:ascii="仿宋" w:hAnsi="仿宋" w:eastAsia="仿宋" w:cstheme="minorBidi"/>
          <w:sz w:val="32"/>
          <w:szCs w:val="32"/>
        </w:rPr>
        <w:t>。</w:t>
      </w:r>
    </w:p>
    <w:tbl>
      <w:tblPr>
        <w:tblStyle w:val="26"/>
        <w:tblpPr w:leftFromText="180" w:rightFromText="180" w:vertAnchor="text" w:horzAnchor="page" w:tblpX="1862" w:tblpY="66"/>
        <w:tblOverlap w:val="never"/>
        <w:tblW w:w="851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8516"/>
      </w:tblGrid>
      <w:tr w14:paraId="714F7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6" w:type="dxa"/>
            <w:tcBorders>
              <w:top w:val="single" w:color="auto" w:sz="4" w:space="0"/>
              <w:bottom w:val="single" w:color="auto" w:sz="4" w:space="0"/>
              <w:tl2br w:val="nil"/>
              <w:tr2bl w:val="nil"/>
            </w:tcBorders>
            <w:shd w:val="clear" w:color="auto" w:fill="FFFFFF" w:themeFill="background1"/>
          </w:tcPr>
          <w:p w14:paraId="06C947BB">
            <w:pPr>
              <w:spacing w:line="540" w:lineRule="exact"/>
              <w:ind w:left="210" w:right="210"/>
              <w:jc w:val="center"/>
              <w:rPr>
                <w:rFonts w:ascii="黑体" w:hAnsi="黑体" w:eastAsia="黑体" w:cs="Times New Roman"/>
                <w:kern w:val="0"/>
                <w:sz w:val="28"/>
                <w:szCs w:val="28"/>
              </w:rPr>
            </w:pPr>
            <w:r>
              <w:rPr>
                <w:rFonts w:hint="eastAsia" w:ascii="黑体" w:hAnsi="黑体" w:eastAsia="黑体" w:cs="黑体"/>
                <w:b w:val="0"/>
                <w:bCs/>
                <w:kern w:val="0"/>
                <w:sz w:val="28"/>
                <w:szCs w:val="28"/>
              </w:rPr>
              <w:t>专栏2  优势特色农牧业</w:t>
            </w:r>
            <w:r>
              <w:rPr>
                <w:rFonts w:hint="eastAsia" w:ascii="黑体" w:hAnsi="黑体" w:eastAsia="黑体" w:cs="黑体"/>
                <w:b w:val="0"/>
                <w:bCs/>
                <w:kern w:val="0"/>
                <w:sz w:val="28"/>
                <w:szCs w:val="28"/>
                <w:lang w:eastAsia="zh-CN"/>
              </w:rPr>
              <w:t>发展</w:t>
            </w:r>
            <w:r>
              <w:rPr>
                <w:rFonts w:hint="eastAsia" w:ascii="黑体" w:hAnsi="黑体" w:eastAsia="黑体" w:cs="黑体"/>
                <w:b w:val="0"/>
                <w:bCs/>
                <w:kern w:val="0"/>
                <w:sz w:val="28"/>
                <w:szCs w:val="28"/>
              </w:rPr>
              <w:t>重点工程</w:t>
            </w:r>
          </w:p>
        </w:tc>
      </w:tr>
      <w:tr w14:paraId="26468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50" w:hRule="atLeast"/>
        </w:trPr>
        <w:tc>
          <w:tcPr>
            <w:tcW w:w="8516" w:type="dxa"/>
            <w:tcBorders>
              <w:top w:val="single" w:color="auto" w:sz="4" w:space="0"/>
              <w:bottom w:val="single" w:color="auto" w:sz="4" w:space="0"/>
              <w:tl2br w:val="nil"/>
              <w:tr2bl w:val="nil"/>
            </w:tcBorders>
            <w:shd w:val="clear" w:color="auto" w:fill="FFFFFF" w:themeFill="background1"/>
          </w:tcPr>
          <w:p w14:paraId="748BFBDD">
            <w:pPr>
              <w:spacing w:line="400" w:lineRule="exact"/>
              <w:ind w:left="210" w:right="210" w:firstLine="480" w:firstLineChars="200"/>
              <w:rPr>
                <w:rFonts w:ascii="仿宋" w:hAnsi="仿宋" w:eastAsia="仿宋" w:cs="Times New Roman"/>
                <w:sz w:val="24"/>
              </w:rPr>
            </w:pPr>
            <w:r>
              <w:rPr>
                <w:rFonts w:hint="eastAsia" w:ascii="黑体" w:hAnsi="黑体" w:eastAsia="黑体" w:cs="Times New Roman"/>
                <w:sz w:val="24"/>
              </w:rPr>
              <w:t>1</w:t>
            </w:r>
            <w:r>
              <w:rPr>
                <w:rFonts w:ascii="黑体" w:hAnsi="黑体" w:eastAsia="黑体" w:cs="Times New Roman"/>
                <w:sz w:val="24"/>
              </w:rPr>
              <w:t>.优质良种肉牛产业发展</w:t>
            </w:r>
            <w:r>
              <w:rPr>
                <w:rFonts w:hint="eastAsia" w:ascii="黑体" w:hAnsi="黑体" w:eastAsia="黑体" w:cs="Times New Roman"/>
                <w:sz w:val="24"/>
                <w:lang w:eastAsia="zh-CN"/>
              </w:rPr>
              <w:t>。</w:t>
            </w:r>
            <w:r>
              <w:rPr>
                <w:rFonts w:ascii="仿宋" w:hAnsi="仿宋" w:eastAsia="仿宋" w:cs="Times New Roman"/>
                <w:sz w:val="24"/>
              </w:rPr>
              <w:t>实施自治区肉牛产业化项目，完善优质良种肉牛产业</w:t>
            </w:r>
            <w:r>
              <w:rPr>
                <w:rFonts w:hint="eastAsia" w:ascii="仿宋" w:hAnsi="仿宋" w:eastAsia="仿宋" w:cs="Times New Roman"/>
                <w:sz w:val="24"/>
                <w:lang w:eastAsia="zh-CN"/>
              </w:rPr>
              <w:t>发展</w:t>
            </w:r>
            <w:r>
              <w:rPr>
                <w:rFonts w:ascii="仿宋" w:hAnsi="仿宋" w:eastAsia="仿宋" w:cs="Times New Roman"/>
                <w:sz w:val="24"/>
              </w:rPr>
              <w:t>扶持政策，重点围绕良种扩繁、育成育肥、饲养管理等关键环节，高质量建设优质良种肉牛产业带。</w:t>
            </w:r>
          </w:p>
          <w:p w14:paraId="3BFFFF3D">
            <w:pPr>
              <w:spacing w:line="400" w:lineRule="exact"/>
              <w:ind w:left="210" w:right="210" w:firstLine="480" w:firstLineChars="200"/>
              <w:rPr>
                <w:rFonts w:ascii="仿宋" w:hAnsi="仿宋" w:eastAsia="仿宋" w:cs="Times New Roman"/>
                <w:sz w:val="24"/>
              </w:rPr>
            </w:pPr>
            <w:r>
              <w:rPr>
                <w:rFonts w:hint="eastAsia" w:ascii="黑体" w:hAnsi="黑体" w:eastAsia="黑体" w:cs="Times New Roman"/>
                <w:sz w:val="24"/>
              </w:rPr>
              <w:t>2</w:t>
            </w:r>
            <w:r>
              <w:rPr>
                <w:rFonts w:ascii="黑体" w:hAnsi="黑体" w:eastAsia="黑体" w:cs="Times New Roman"/>
                <w:sz w:val="24"/>
              </w:rPr>
              <w:t>.现代肉羊产业发展</w:t>
            </w:r>
            <w:r>
              <w:rPr>
                <w:rFonts w:hint="eastAsia" w:ascii="黑体" w:hAnsi="黑体" w:eastAsia="黑体" w:cs="Times New Roman"/>
                <w:sz w:val="24"/>
                <w:lang w:eastAsia="zh-CN"/>
              </w:rPr>
              <w:t>。</w:t>
            </w:r>
            <w:r>
              <w:rPr>
                <w:rFonts w:ascii="仿宋" w:hAnsi="仿宋" w:eastAsia="仿宋" w:cs="Times New Roman"/>
                <w:sz w:val="24"/>
              </w:rPr>
              <w:t>实施国家肉羊产业集群项目，落实国家、自治区种公羊补贴政策，制定</w:t>
            </w:r>
            <w:r>
              <w:rPr>
                <w:rFonts w:hint="eastAsia" w:ascii="仿宋" w:hAnsi="仿宋" w:eastAsia="仿宋" w:cs="Times New Roman"/>
                <w:sz w:val="24"/>
                <w:lang w:eastAsia="zh-CN"/>
              </w:rPr>
              <w:t>谷</w:t>
            </w:r>
            <w:r>
              <w:rPr>
                <w:rFonts w:ascii="仿宋" w:hAnsi="仿宋" w:eastAsia="仿宋" w:cs="Times New Roman"/>
                <w:sz w:val="24"/>
              </w:rPr>
              <w:t>饲羊发展扶持</w:t>
            </w:r>
            <w:r>
              <w:rPr>
                <w:rFonts w:hint="eastAsia" w:ascii="仿宋" w:hAnsi="仿宋" w:eastAsia="仿宋" w:cs="Times New Roman"/>
                <w:sz w:val="24"/>
                <w:lang w:eastAsia="zh-CN"/>
              </w:rPr>
              <w:t>办法</w:t>
            </w:r>
            <w:r>
              <w:rPr>
                <w:rFonts w:ascii="仿宋" w:hAnsi="仿宋" w:eastAsia="仿宋" w:cs="Times New Roman"/>
                <w:sz w:val="24"/>
              </w:rPr>
              <w:t>，重点围绕选育提高、杂交育肥、饲养管理等关键环节，全面加强“锡林郭勒羊中国特色农产品优势区”建设。</w:t>
            </w:r>
          </w:p>
          <w:p w14:paraId="20C0C1D1">
            <w:pPr>
              <w:spacing w:line="400" w:lineRule="exact"/>
              <w:ind w:left="210" w:right="210" w:firstLine="480" w:firstLineChars="200"/>
              <w:rPr>
                <w:rFonts w:ascii="仿宋" w:hAnsi="仿宋" w:eastAsia="仿宋" w:cs="Times New Roman"/>
                <w:sz w:val="24"/>
              </w:rPr>
            </w:pPr>
            <w:r>
              <w:rPr>
                <w:rFonts w:hint="eastAsia" w:ascii="黑体" w:hAnsi="黑体" w:eastAsia="黑体" w:cs="Times New Roman"/>
                <w:sz w:val="24"/>
              </w:rPr>
              <w:t>3</w:t>
            </w:r>
            <w:r>
              <w:rPr>
                <w:rFonts w:ascii="黑体" w:hAnsi="黑体" w:eastAsia="黑体" w:cs="Times New Roman"/>
                <w:sz w:val="24"/>
              </w:rPr>
              <w:t>.奶业振兴</w:t>
            </w:r>
            <w:r>
              <w:rPr>
                <w:rFonts w:hint="eastAsia" w:ascii="黑体" w:hAnsi="黑体" w:eastAsia="黑体" w:cs="Times New Roman"/>
                <w:sz w:val="24"/>
                <w:lang w:eastAsia="zh-CN"/>
              </w:rPr>
              <w:t>。</w:t>
            </w:r>
            <w:r>
              <w:rPr>
                <w:rFonts w:hint="eastAsia" w:ascii="仿宋" w:hAnsi="仿宋" w:eastAsia="仿宋" w:cs="Times New Roman"/>
                <w:sz w:val="24"/>
                <w:lang w:eastAsia="zh-CN"/>
              </w:rPr>
              <w:t>加强</w:t>
            </w:r>
            <w:r>
              <w:rPr>
                <w:rFonts w:ascii="仿宋" w:hAnsi="仿宋" w:eastAsia="仿宋" w:cs="Times New Roman"/>
                <w:sz w:val="24"/>
              </w:rPr>
              <w:t>奶源基地建设，鼓励引导奶牛养殖规模化经营，实施中小奶畜养殖场提升改造项目和传统奶食品加工标准化改造项目，推动传统乳制品产业提档升级。</w:t>
            </w:r>
          </w:p>
          <w:p w14:paraId="7A8F9572">
            <w:pPr>
              <w:spacing w:line="400" w:lineRule="exact"/>
              <w:ind w:left="210" w:right="210" w:firstLine="480" w:firstLineChars="200"/>
              <w:rPr>
                <w:rFonts w:ascii="仿宋" w:hAnsi="仿宋" w:eastAsia="仿宋" w:cs="Times New Roman"/>
                <w:sz w:val="24"/>
              </w:rPr>
            </w:pPr>
            <w:r>
              <w:rPr>
                <w:rFonts w:hint="eastAsia" w:ascii="黑体" w:hAnsi="黑体" w:eastAsia="黑体" w:cs="Times New Roman"/>
                <w:sz w:val="24"/>
              </w:rPr>
              <w:t>4</w:t>
            </w:r>
            <w:r>
              <w:rPr>
                <w:rFonts w:ascii="黑体" w:hAnsi="黑体" w:eastAsia="黑体" w:cs="Times New Roman"/>
                <w:sz w:val="24"/>
              </w:rPr>
              <w:t>.马产业发展</w:t>
            </w:r>
            <w:r>
              <w:rPr>
                <w:rFonts w:hint="eastAsia" w:ascii="黑体" w:hAnsi="黑体" w:eastAsia="黑体" w:cs="Times New Roman"/>
                <w:sz w:val="24"/>
                <w:lang w:eastAsia="zh-CN"/>
              </w:rPr>
              <w:t>。</w:t>
            </w:r>
            <w:r>
              <w:rPr>
                <w:rFonts w:ascii="仿宋" w:hAnsi="仿宋" w:eastAsia="仿宋" w:cs="Times New Roman"/>
                <w:sz w:val="24"/>
              </w:rPr>
              <w:t>落实蒙古马保护补贴政策，开展定向培育产品马、竞技马、仪仗马等新品种新品系和良种马繁育工作，促进马产业健康发展。</w:t>
            </w:r>
          </w:p>
          <w:p w14:paraId="045F6AB1">
            <w:pPr>
              <w:spacing w:line="400" w:lineRule="exact"/>
              <w:ind w:left="210" w:right="210" w:firstLine="480" w:firstLineChars="200"/>
              <w:rPr>
                <w:rFonts w:ascii="仿宋" w:hAnsi="仿宋" w:eastAsia="仿宋" w:cs="Times New Roman"/>
                <w:sz w:val="24"/>
              </w:rPr>
            </w:pPr>
            <w:r>
              <w:rPr>
                <w:rFonts w:hint="eastAsia" w:ascii="黑体" w:hAnsi="黑体" w:eastAsia="黑体" w:cs="Times New Roman"/>
                <w:sz w:val="24"/>
              </w:rPr>
              <w:t>5</w:t>
            </w:r>
            <w:r>
              <w:rPr>
                <w:rFonts w:ascii="黑体" w:hAnsi="黑体" w:eastAsia="黑体" w:cs="Times New Roman"/>
                <w:sz w:val="24"/>
              </w:rPr>
              <w:t>.骆驼产业发展</w:t>
            </w:r>
            <w:r>
              <w:rPr>
                <w:rFonts w:hint="eastAsia" w:ascii="黑体" w:hAnsi="黑体" w:eastAsia="黑体" w:cs="Times New Roman"/>
                <w:sz w:val="24"/>
                <w:lang w:eastAsia="zh-CN"/>
              </w:rPr>
              <w:t>。</w:t>
            </w:r>
            <w:r>
              <w:rPr>
                <w:rFonts w:ascii="仿宋" w:hAnsi="仿宋" w:eastAsia="仿宋" w:cs="Times New Roman"/>
                <w:sz w:val="24"/>
              </w:rPr>
              <w:t>加大苏尼特双峰驼种质资源保护，统筹发展苏尼特右旗、苏尼特左旗、二连浩特市等地骆驼养殖基地和驼奶生产基地</w:t>
            </w:r>
            <w:r>
              <w:rPr>
                <w:rFonts w:hint="eastAsia" w:ascii="仿宋" w:hAnsi="仿宋" w:eastAsia="仿宋" w:cs="Times New Roman"/>
                <w:sz w:val="24"/>
              </w:rPr>
              <w:t>。</w:t>
            </w:r>
          </w:p>
          <w:p w14:paraId="38665EBA">
            <w:pPr>
              <w:spacing w:line="400" w:lineRule="exact"/>
              <w:ind w:left="210" w:right="210" w:firstLine="480" w:firstLineChars="200"/>
            </w:pPr>
            <w:r>
              <w:rPr>
                <w:rFonts w:ascii="黑体" w:hAnsi="黑体" w:eastAsia="黑体" w:cs="Times New Roman"/>
                <w:sz w:val="24"/>
              </w:rPr>
              <w:t>6.草畜一体化发展</w:t>
            </w:r>
            <w:r>
              <w:rPr>
                <w:rFonts w:hint="eastAsia" w:ascii="黑体" w:hAnsi="黑体" w:eastAsia="黑体" w:cs="Times New Roman"/>
                <w:sz w:val="24"/>
                <w:lang w:eastAsia="zh-CN"/>
              </w:rPr>
              <w:t>。</w:t>
            </w:r>
            <w:r>
              <w:rPr>
                <w:rFonts w:ascii="仿宋" w:hAnsi="仿宋" w:eastAsia="仿宋" w:cs="Times New Roman"/>
                <w:sz w:val="24"/>
              </w:rPr>
              <w:t>推行种养结合、农牧循环，持续</w:t>
            </w:r>
            <w:r>
              <w:rPr>
                <w:rFonts w:hint="eastAsia" w:ascii="仿宋" w:hAnsi="仿宋" w:eastAsia="仿宋" w:cs="Times New Roman"/>
                <w:sz w:val="24"/>
                <w:lang w:eastAsia="zh-CN"/>
              </w:rPr>
              <w:t>实施</w:t>
            </w:r>
            <w:r>
              <w:rPr>
                <w:rFonts w:ascii="仿宋" w:hAnsi="仿宋" w:eastAsia="仿宋" w:cs="Times New Roman"/>
                <w:sz w:val="24"/>
              </w:rPr>
              <w:t>“粮改饲”</w:t>
            </w:r>
            <w:r>
              <w:rPr>
                <w:rFonts w:hint="eastAsia" w:ascii="仿宋" w:hAnsi="仿宋" w:eastAsia="仿宋" w:cs="Times New Roman"/>
                <w:sz w:val="24"/>
                <w:lang w:eastAsia="zh-CN"/>
              </w:rPr>
              <w:t>项目</w:t>
            </w:r>
            <w:r>
              <w:rPr>
                <w:rFonts w:ascii="仿宋" w:hAnsi="仿宋" w:eastAsia="仿宋" w:cs="Times New Roman"/>
                <w:sz w:val="24"/>
              </w:rPr>
              <w:t>，推进草畜一体发展，建立健全旗县、苏木乡镇、嘎查村三级储草保障体系。</w:t>
            </w:r>
          </w:p>
        </w:tc>
      </w:tr>
    </w:tbl>
    <w:p w14:paraId="502B4EA3">
      <w:pPr>
        <w:spacing w:line="540" w:lineRule="exact"/>
        <w:rPr>
          <w:rFonts w:ascii="方正小标宋简体" w:hAnsi="仿宋" w:eastAsia="方正小标宋简体" w:cs="黑体"/>
          <w:color w:val="000000" w:themeColor="text1"/>
          <w:sz w:val="36"/>
          <w:szCs w:val="36"/>
        </w:rPr>
      </w:pPr>
      <w:bookmarkStart w:id="221" w:name="_Toc6802"/>
      <w:bookmarkStart w:id="222" w:name="_Toc12738"/>
      <w:bookmarkStart w:id="223" w:name="_Toc12632"/>
      <w:bookmarkStart w:id="224" w:name="_Toc60561660"/>
      <w:bookmarkStart w:id="225" w:name="_Toc59000571"/>
      <w:bookmarkStart w:id="226" w:name="_Toc58870198"/>
      <w:bookmarkStart w:id="227" w:name="_Toc58870124"/>
      <w:bookmarkStart w:id="228" w:name="_Toc59000532"/>
      <w:bookmarkStart w:id="229" w:name="_Toc57041398"/>
    </w:p>
    <w:p w14:paraId="1532DE00">
      <w:pPr>
        <w:pStyle w:val="2"/>
        <w:rPr>
          <w:rFonts w:ascii="方正小标宋简体" w:hAnsi="仿宋" w:eastAsia="方正小标宋简体" w:cs="黑体"/>
          <w:color w:val="000000" w:themeColor="text1"/>
          <w:sz w:val="36"/>
          <w:szCs w:val="36"/>
        </w:rPr>
      </w:pPr>
    </w:p>
    <w:p w14:paraId="7881DBC1">
      <w:pPr>
        <w:rPr>
          <w:rFonts w:ascii="方正小标宋简体" w:hAnsi="仿宋" w:eastAsia="方正小标宋简体" w:cs="黑体"/>
          <w:color w:val="000000" w:themeColor="text1"/>
          <w:sz w:val="36"/>
          <w:szCs w:val="36"/>
        </w:rPr>
      </w:pPr>
    </w:p>
    <w:p w14:paraId="5D64D1C0">
      <w:pPr>
        <w:pStyle w:val="2"/>
        <w:rPr>
          <w:rFonts w:ascii="方正小标宋简体" w:hAnsi="仿宋" w:eastAsia="方正小标宋简体" w:cs="黑体"/>
          <w:color w:val="000000" w:themeColor="text1"/>
          <w:sz w:val="36"/>
          <w:szCs w:val="36"/>
        </w:rPr>
      </w:pPr>
    </w:p>
    <w:p w14:paraId="0B31EC5B">
      <w:pPr>
        <w:pStyle w:val="3"/>
        <w:snapToGrid w:val="0"/>
        <w:spacing w:before="312" w:beforeLines="100" w:after="312" w:afterLines="100" w:line="540" w:lineRule="exact"/>
        <w:jc w:val="center"/>
        <w:rPr>
          <w:rFonts w:hint="eastAsia" w:ascii="方正小标宋简体" w:hAnsi="仿宋" w:eastAsia="方正小标宋简体" w:cs="黑体"/>
          <w:b w:val="0"/>
          <w:color w:val="000000" w:themeColor="text1"/>
          <w:sz w:val="32"/>
          <w:szCs w:val="32"/>
        </w:rPr>
      </w:pPr>
      <w:bookmarkStart w:id="230" w:name="_Toc29887"/>
    </w:p>
    <w:p w14:paraId="2A18CD35">
      <w:pPr>
        <w:pStyle w:val="3"/>
        <w:snapToGrid w:val="0"/>
        <w:spacing w:before="312" w:beforeLines="100" w:after="312" w:afterLines="100" w:line="540" w:lineRule="exact"/>
        <w:jc w:val="center"/>
        <w:rPr>
          <w:rFonts w:ascii="方正小标宋简体" w:hAnsi="仿宋" w:eastAsia="方正小标宋简体" w:cs="黑体"/>
          <w:b w:val="0"/>
          <w:color w:val="000000" w:themeColor="text1"/>
          <w:sz w:val="44"/>
          <w:szCs w:val="44"/>
        </w:rPr>
      </w:pPr>
      <w:bookmarkStart w:id="231" w:name="_Toc75046881_WPSOffice_Level1"/>
      <w:r>
        <w:rPr>
          <w:rFonts w:hint="eastAsia" w:ascii="方正小标宋简体" w:hAnsi="仿宋" w:eastAsia="方正小标宋简体" w:cs="黑体"/>
          <w:b w:val="0"/>
          <w:color w:val="000000" w:themeColor="text1"/>
          <w:sz w:val="44"/>
          <w:szCs w:val="44"/>
        </w:rPr>
        <w:t>第四章 推动</w:t>
      </w:r>
      <w:r>
        <w:rPr>
          <w:rFonts w:hint="eastAsia" w:ascii="方正小标宋简体" w:hAnsi="仿宋" w:eastAsia="方正小标宋简体" w:cs="黑体"/>
          <w:b w:val="0"/>
          <w:color w:val="000000" w:themeColor="text1"/>
          <w:sz w:val="44"/>
          <w:szCs w:val="44"/>
          <w:lang w:eastAsia="zh-CN"/>
        </w:rPr>
        <w:t>农村牧区一二三产业</w:t>
      </w:r>
      <w:r>
        <w:rPr>
          <w:rFonts w:hint="eastAsia" w:ascii="方正小标宋简体" w:hAnsi="仿宋" w:eastAsia="方正小标宋简体" w:cs="黑体"/>
          <w:b w:val="0"/>
          <w:color w:val="000000" w:themeColor="text1"/>
          <w:sz w:val="44"/>
          <w:szCs w:val="44"/>
        </w:rPr>
        <w:t>融合发展</w:t>
      </w:r>
      <w:bookmarkEnd w:id="221"/>
      <w:bookmarkEnd w:id="222"/>
      <w:bookmarkEnd w:id="223"/>
      <w:bookmarkEnd w:id="224"/>
      <w:bookmarkEnd w:id="230"/>
      <w:bookmarkEnd w:id="231"/>
    </w:p>
    <w:p w14:paraId="4A4E0474">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theme="minorBidi"/>
          <w:sz w:val="32"/>
          <w:szCs w:val="32"/>
        </w:rPr>
      </w:pPr>
      <w:r>
        <w:rPr>
          <w:rFonts w:ascii="仿宋" w:hAnsi="仿宋" w:eastAsia="仿宋" w:cstheme="minorBidi"/>
          <w:sz w:val="32"/>
          <w:szCs w:val="32"/>
        </w:rPr>
        <w:t>聚焦优势主导产业和产业发展重点</w:t>
      </w:r>
      <w:r>
        <w:rPr>
          <w:rFonts w:hint="eastAsia" w:ascii="仿宋" w:hAnsi="仿宋" w:eastAsia="仿宋" w:cstheme="minorBidi"/>
          <w:sz w:val="32"/>
          <w:szCs w:val="32"/>
          <w:lang w:eastAsia="zh-CN"/>
        </w:rPr>
        <w:t>区域</w:t>
      </w:r>
      <w:r>
        <w:rPr>
          <w:rFonts w:ascii="仿宋" w:hAnsi="仿宋" w:eastAsia="仿宋" w:cstheme="minorBidi"/>
          <w:sz w:val="32"/>
          <w:szCs w:val="32"/>
        </w:rPr>
        <w:t>，以延伸产业链、贯通供应链、提升价值链为目标，将多种形式的适度规模化经营与产业链延伸有机结合，深度推进</w:t>
      </w:r>
      <w:r>
        <w:rPr>
          <w:rFonts w:hint="eastAsia" w:ascii="仿宋" w:hAnsi="仿宋" w:eastAsia="仿宋" w:cstheme="minorBidi"/>
          <w:sz w:val="32"/>
          <w:szCs w:val="32"/>
          <w:lang w:eastAsia="zh-CN"/>
        </w:rPr>
        <w:t>农村牧区</w:t>
      </w:r>
      <w:r>
        <w:rPr>
          <w:rFonts w:ascii="仿宋" w:hAnsi="仿宋" w:eastAsia="仿宋" w:cstheme="minorBidi"/>
          <w:sz w:val="32"/>
          <w:szCs w:val="32"/>
        </w:rPr>
        <w:t>一二三产业融合发展。</w:t>
      </w:r>
    </w:p>
    <w:p w14:paraId="49800D1A">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6"/>
        </w:rPr>
      </w:pPr>
      <w:bookmarkStart w:id="232" w:name="_Toc8622"/>
      <w:bookmarkStart w:id="233" w:name="_Toc26164"/>
      <w:bookmarkStart w:id="234" w:name="_Toc13132"/>
      <w:bookmarkStart w:id="235" w:name="_Toc1806403098_WPSOffice_Level2"/>
      <w:bookmarkStart w:id="236" w:name="_Toc24979"/>
      <w:r>
        <w:rPr>
          <w:rFonts w:hint="eastAsia" w:ascii="Calibri Light" w:hAnsi="Calibri Light" w:cs="Times New Roman"/>
          <w:b w:val="0"/>
          <w:bCs w:val="0"/>
          <w:sz w:val="32"/>
          <w:szCs w:val="36"/>
        </w:rPr>
        <w:t>第一节 加快推进农牧产业集群发展</w:t>
      </w:r>
      <w:bookmarkEnd w:id="232"/>
      <w:bookmarkEnd w:id="233"/>
      <w:bookmarkEnd w:id="234"/>
      <w:bookmarkEnd w:id="235"/>
      <w:bookmarkEnd w:id="236"/>
    </w:p>
    <w:p w14:paraId="23C4F186">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建设优势特色产业集群。</w:t>
      </w:r>
      <w:r>
        <w:rPr>
          <w:rFonts w:hint="eastAsia" w:ascii="仿宋" w:hAnsi="仿宋" w:eastAsia="仿宋" w:cs="仿宋"/>
          <w:b w:val="0"/>
          <w:bCs w:val="0"/>
          <w:sz w:val="32"/>
          <w:szCs w:val="32"/>
        </w:rPr>
        <w:t>以资源禀赋和产业比较优势为基础，突出集群成链，聚集资源要素，做强做优肉羊、肉牛两大优势产业集群，稳步推进奶</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驼、马、饲草料</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马铃薯、蔬菜、</w:t>
      </w:r>
      <w:r>
        <w:rPr>
          <w:rFonts w:hint="eastAsia" w:ascii="仿宋" w:hAnsi="仿宋" w:eastAsia="仿宋" w:cs="仿宋"/>
          <w:b w:val="0"/>
          <w:bCs w:val="0"/>
          <w:sz w:val="32"/>
          <w:szCs w:val="32"/>
          <w:lang w:eastAsia="zh-CN"/>
        </w:rPr>
        <w:t>燕麦、油料、杂粮杂豆</w:t>
      </w:r>
      <w:r>
        <w:rPr>
          <w:rFonts w:hint="eastAsia" w:ascii="仿宋" w:hAnsi="仿宋" w:eastAsia="仿宋" w:cs="仿宋"/>
          <w:b w:val="0"/>
          <w:bCs w:val="0"/>
          <w:sz w:val="32"/>
          <w:szCs w:val="32"/>
        </w:rPr>
        <w:t>等特色产业</w:t>
      </w:r>
      <w:r>
        <w:rPr>
          <w:rFonts w:hint="eastAsia" w:ascii="仿宋" w:hAnsi="仿宋" w:eastAsia="仿宋" w:cs="仿宋"/>
          <w:b w:val="0"/>
          <w:bCs w:val="0"/>
          <w:sz w:val="32"/>
          <w:szCs w:val="32"/>
          <w:lang w:eastAsia="zh-CN"/>
        </w:rPr>
        <w:t>集聚</w:t>
      </w:r>
      <w:r>
        <w:rPr>
          <w:rFonts w:hint="eastAsia" w:ascii="仿宋" w:hAnsi="仿宋" w:eastAsia="仿宋" w:cs="仿宋"/>
          <w:b w:val="0"/>
          <w:bCs w:val="0"/>
          <w:sz w:val="32"/>
          <w:szCs w:val="32"/>
        </w:rPr>
        <w:t>发展，着力打造涵盖生产、加工、流通、科技、服务于一体的产业集群</w:t>
      </w:r>
      <w:r>
        <w:rPr>
          <w:rFonts w:hint="eastAsia" w:ascii="仿宋" w:hAnsi="仿宋" w:eastAsia="仿宋" w:cs="仿宋"/>
          <w:b w:val="0"/>
          <w:bCs w:val="0"/>
          <w:sz w:val="32"/>
          <w:szCs w:val="32"/>
          <w:lang w:eastAsia="zh-CN"/>
        </w:rPr>
        <w:t>发展模式</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优化</w:t>
      </w:r>
      <w:r>
        <w:rPr>
          <w:rFonts w:hint="eastAsia" w:ascii="仿宋" w:hAnsi="仿宋" w:eastAsia="仿宋" w:cs="仿宋"/>
          <w:b w:val="0"/>
          <w:bCs w:val="0"/>
          <w:sz w:val="32"/>
          <w:szCs w:val="32"/>
        </w:rPr>
        <w:t>农畜产品加工园区布局，推动优势特色产业加工流通环节向农村牧区下沉，</w:t>
      </w:r>
      <w:r>
        <w:rPr>
          <w:rFonts w:hint="eastAsia" w:ascii="仿宋" w:hAnsi="仿宋" w:eastAsia="仿宋" w:cs="仿宋"/>
          <w:b w:val="0"/>
          <w:bCs w:val="0"/>
          <w:sz w:val="32"/>
          <w:szCs w:val="32"/>
          <w:lang w:eastAsia="zh-CN"/>
        </w:rPr>
        <w:t>逐步</w:t>
      </w:r>
      <w:r>
        <w:rPr>
          <w:rFonts w:hint="eastAsia" w:ascii="仿宋" w:hAnsi="仿宋" w:eastAsia="仿宋" w:cs="仿宋"/>
          <w:b w:val="0"/>
          <w:bCs w:val="0"/>
          <w:sz w:val="32"/>
          <w:szCs w:val="32"/>
        </w:rPr>
        <w:t>改变加工在城市、原料在农村牧区的状况，将产业增值效益更多的留在县域</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留给农牧民，促进形成产业规模大、融合层次深、增值幅度高、质量效益好的产业发展新局面。到2025年，力争创建1个国家级产业集群。</w:t>
      </w:r>
    </w:p>
    <w:p w14:paraId="2630D3CC">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sz w:val="32"/>
          <w:szCs w:val="32"/>
        </w:rPr>
      </w:pPr>
      <w:bookmarkStart w:id="237" w:name="_Toc25008"/>
      <w:bookmarkStart w:id="238" w:name="_Toc1121"/>
      <w:bookmarkStart w:id="239" w:name="_Toc18904"/>
      <w:bookmarkStart w:id="240" w:name="_Toc16984"/>
      <w:r>
        <w:rPr>
          <w:rFonts w:hint="eastAsia" w:ascii="仿宋" w:hAnsi="仿宋" w:eastAsia="仿宋" w:cs="仿宋"/>
          <w:b/>
          <w:bCs/>
          <w:sz w:val="32"/>
          <w:szCs w:val="32"/>
        </w:rPr>
        <w:t>加强现代农牧业产业园</w:t>
      </w:r>
      <w:r>
        <w:rPr>
          <w:rFonts w:hint="eastAsia" w:ascii="仿宋" w:hAnsi="仿宋" w:eastAsia="仿宋" w:cs="仿宋"/>
          <w:b/>
          <w:bCs/>
          <w:sz w:val="32"/>
          <w:szCs w:val="32"/>
          <w:lang w:eastAsia="zh-CN"/>
        </w:rPr>
        <w:t>创建</w:t>
      </w:r>
      <w:r>
        <w:rPr>
          <w:rFonts w:hint="eastAsia" w:ascii="仿宋" w:hAnsi="仿宋" w:eastAsia="仿宋" w:cs="仿宋"/>
          <w:b/>
          <w:bCs/>
          <w:sz w:val="32"/>
          <w:szCs w:val="32"/>
        </w:rPr>
        <w:t>。</w:t>
      </w:r>
      <w:r>
        <w:rPr>
          <w:rFonts w:hint="eastAsia" w:ascii="仿宋" w:hAnsi="仿宋" w:eastAsia="仿宋" w:cs="仿宋"/>
          <w:b w:val="0"/>
          <w:bCs w:val="0"/>
          <w:sz w:val="32"/>
          <w:szCs w:val="32"/>
        </w:rPr>
        <w:t>聚焦规模化种养基地建设，发挥龙头企业带动作用，促进现代生产要素聚集，支持产业特色优势明显、规划布局科学合理、建设水平区域领先、绿色发展成效突出的地区</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创建“生产+加工+科技”的现代农牧业产业园</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。以锡林浩特市自治区现代农牧业产业园创建工作为引领，</w:t>
      </w:r>
      <w:r>
        <w:rPr>
          <w:rFonts w:hint="eastAsia" w:ascii="仿宋" w:hAnsi="仿宋" w:eastAsia="仿宋" w:cs="仿宋"/>
          <w:b w:val="0"/>
          <w:bCs w:val="0"/>
          <w:sz w:val="32"/>
          <w:szCs w:val="32"/>
          <w:lang w:eastAsia="zh-CN"/>
        </w:rPr>
        <w:t>全面推进</w:t>
      </w:r>
      <w:r>
        <w:rPr>
          <w:rFonts w:hint="eastAsia" w:ascii="仿宋" w:hAnsi="仿宋" w:eastAsia="仿宋" w:cs="仿宋"/>
          <w:b w:val="0"/>
          <w:bCs w:val="0"/>
          <w:sz w:val="32"/>
          <w:szCs w:val="32"/>
        </w:rPr>
        <w:t>产业园创建工作，</w:t>
      </w:r>
      <w:r>
        <w:rPr>
          <w:rFonts w:hint="eastAsia" w:ascii="仿宋" w:hAnsi="仿宋" w:eastAsia="仿宋" w:cs="仿宋"/>
          <w:b w:val="0"/>
          <w:bCs w:val="0"/>
          <w:sz w:val="32"/>
          <w:szCs w:val="32"/>
          <w:lang w:eastAsia="zh-CN"/>
        </w:rPr>
        <w:t>努力建设</w:t>
      </w:r>
      <w:r>
        <w:rPr>
          <w:rFonts w:hint="eastAsia" w:ascii="仿宋" w:hAnsi="仿宋" w:eastAsia="仿宋" w:cs="仿宋"/>
          <w:b w:val="0"/>
          <w:bCs w:val="0"/>
          <w:sz w:val="32"/>
          <w:szCs w:val="32"/>
        </w:rPr>
        <w:t>产业特色鲜明、要素高度聚集、设施装备先进、生产方式绿色、辐射带动有力的现代农牧业产业园</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。到2025年，力争创建2个自治区级现代农牧业产业园。</w:t>
      </w:r>
    </w:p>
    <w:bookmarkEnd w:id="237"/>
    <w:bookmarkEnd w:id="238"/>
    <w:bookmarkEnd w:id="239"/>
    <w:bookmarkEnd w:id="240"/>
    <w:p w14:paraId="1A47C646">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推动产业强镇示范建设。</w:t>
      </w:r>
      <w:r>
        <w:rPr>
          <w:rFonts w:hint="eastAsia" w:ascii="仿宋" w:hAnsi="仿宋" w:eastAsia="仿宋" w:cs="仿宋"/>
          <w:b w:val="0"/>
          <w:bCs w:val="0"/>
          <w:sz w:val="32"/>
          <w:szCs w:val="32"/>
        </w:rPr>
        <w:t>聚焦产业发展重点苏木乡镇，引导农牧业产业向优势产业带集聚，向产业聚集区集中，提升产业集聚效应和运行效率。提升生产基地、仓储保</w:t>
      </w:r>
      <w:r>
        <w:rPr>
          <w:rFonts w:hint="eastAsia" w:ascii="仿宋" w:hAnsi="仿宋" w:eastAsia="仿宋" w:cs="仿宋"/>
          <w:b w:val="0"/>
          <w:bCs w:val="0"/>
          <w:sz w:val="32"/>
          <w:szCs w:val="32"/>
          <w:lang w:eastAsia="zh-CN"/>
        </w:rPr>
        <w:t>鲜</w:t>
      </w:r>
      <w:r>
        <w:rPr>
          <w:rFonts w:hint="eastAsia" w:ascii="仿宋" w:hAnsi="仿宋" w:eastAsia="仿宋" w:cs="仿宋"/>
          <w:b w:val="0"/>
          <w:bCs w:val="0"/>
          <w:sz w:val="32"/>
          <w:szCs w:val="32"/>
        </w:rPr>
        <w:t>、加工营销等设施设备水平，打造主导产业突出、一二三产业深度融合、创新创业活跃、产村产城一体的农牧业产业强镇，示范带动农村牧区产业转型升级。到2025年，</w:t>
      </w:r>
      <w:r>
        <w:rPr>
          <w:rFonts w:hint="eastAsia" w:ascii="仿宋" w:hAnsi="仿宋" w:eastAsia="仿宋" w:cs="仿宋"/>
          <w:b w:val="0"/>
          <w:bCs w:val="0"/>
          <w:sz w:val="32"/>
          <w:szCs w:val="32"/>
          <w:lang w:eastAsia="zh-CN"/>
        </w:rPr>
        <w:t>力争</w:t>
      </w:r>
      <w:r>
        <w:rPr>
          <w:rFonts w:hint="eastAsia" w:ascii="仿宋" w:hAnsi="仿宋" w:eastAsia="仿宋" w:cs="仿宋"/>
          <w:b w:val="0"/>
          <w:bCs w:val="0"/>
          <w:sz w:val="32"/>
          <w:szCs w:val="32"/>
        </w:rPr>
        <w:t>创建3个国家级产业强镇。</w:t>
      </w:r>
    </w:p>
    <w:p w14:paraId="4D01548D">
      <w:pPr>
        <w:pStyle w:val="2"/>
        <w:pageBreakBefore w:val="0"/>
        <w:widowControl w:val="0"/>
        <w:kinsoku/>
        <w:wordWrap/>
        <w:overflowPunct/>
        <w:topLinePunct w:val="0"/>
        <w:autoSpaceDE/>
        <w:autoSpaceDN/>
        <w:bidi w:val="0"/>
        <w:adjustRightInd/>
        <w:snapToGrid/>
        <w:spacing w:after="156" w:afterLines="50" w:line="600" w:lineRule="exact"/>
        <w:ind w:firstLine="642"/>
        <w:textAlignment w:val="auto"/>
        <w:rPr>
          <w:rFonts w:ascii="仿宋" w:hAnsi="仿宋" w:eastAsia="仿宋" w:cstheme="minorBidi"/>
          <w:sz w:val="32"/>
        </w:rPr>
      </w:pPr>
      <w:r>
        <w:rPr>
          <w:rFonts w:hint="eastAsia" w:ascii="仿宋" w:hAnsi="仿宋" w:eastAsia="仿宋" w:cs="仿宋"/>
          <w:b/>
          <w:bCs/>
          <w:sz w:val="32"/>
        </w:rPr>
        <w:t>加快重点产业全产业链建设。</w:t>
      </w:r>
      <w:r>
        <w:rPr>
          <w:rFonts w:hint="eastAsia" w:ascii="仿宋" w:hAnsi="仿宋" w:eastAsia="仿宋" w:cs="仿宋"/>
          <w:b w:val="0"/>
          <w:bCs w:val="0"/>
          <w:sz w:val="32"/>
        </w:rPr>
        <w:t>聚焦肉羊、肉牛、奶业、马铃薯等重点产业，找准强链、补链、延链、固链环</w:t>
      </w:r>
      <w:r>
        <w:rPr>
          <w:rFonts w:ascii="仿宋" w:hAnsi="仿宋" w:eastAsia="仿宋" w:cstheme="minorBidi"/>
          <w:sz w:val="32"/>
        </w:rPr>
        <w:t>节，</w:t>
      </w:r>
      <w:r>
        <w:rPr>
          <w:rFonts w:hint="eastAsia" w:ascii="仿宋" w:hAnsi="仿宋" w:eastAsia="仿宋" w:cstheme="minorBidi"/>
          <w:sz w:val="32"/>
          <w:lang w:eastAsia="zh-CN"/>
        </w:rPr>
        <w:t>以</w:t>
      </w:r>
      <w:r>
        <w:rPr>
          <w:rFonts w:hint="eastAsia" w:ascii="仿宋" w:hAnsi="仿宋" w:eastAsia="仿宋" w:cstheme="minorBidi"/>
          <w:sz w:val="32"/>
        </w:rPr>
        <w:t>“链长制”</w:t>
      </w:r>
      <w:r>
        <w:rPr>
          <w:rFonts w:hint="eastAsia" w:ascii="仿宋" w:hAnsi="仿宋" w:eastAsia="仿宋" w:cstheme="minorBidi"/>
          <w:sz w:val="32"/>
          <w:lang w:eastAsia="zh-CN"/>
        </w:rPr>
        <w:t>为抓手，</w:t>
      </w:r>
      <w:r>
        <w:rPr>
          <w:rFonts w:ascii="仿宋" w:hAnsi="仿宋" w:eastAsia="仿宋" w:cstheme="minorBidi"/>
          <w:sz w:val="32"/>
        </w:rPr>
        <w:t>通过搭建平台、激发活力、科技创新和畅通要素等措施，稳步推动重点产业全产业链发展。</w:t>
      </w:r>
      <w:r>
        <w:rPr>
          <w:rFonts w:hint="eastAsia" w:ascii="仿宋" w:hAnsi="仿宋" w:eastAsia="仿宋" w:cstheme="minorBidi"/>
          <w:sz w:val="32"/>
          <w:lang w:eastAsia="zh-CN"/>
        </w:rPr>
        <w:t>发挥</w:t>
      </w:r>
      <w:r>
        <w:rPr>
          <w:rFonts w:ascii="仿宋" w:hAnsi="仿宋" w:eastAsia="仿宋" w:cstheme="minorBidi"/>
          <w:sz w:val="32"/>
        </w:rPr>
        <w:t>以龙头企业为引领的产业化联合体</w:t>
      </w:r>
      <w:r>
        <w:rPr>
          <w:rFonts w:hint="eastAsia" w:ascii="仿宋" w:hAnsi="仿宋" w:eastAsia="仿宋" w:cstheme="minorBidi"/>
          <w:sz w:val="32"/>
          <w:lang w:eastAsia="zh-CN"/>
        </w:rPr>
        <w:t>带动作用</w:t>
      </w:r>
      <w:r>
        <w:rPr>
          <w:rFonts w:ascii="仿宋" w:hAnsi="仿宋" w:eastAsia="仿宋" w:cstheme="minorBidi"/>
          <w:sz w:val="32"/>
        </w:rPr>
        <w:t>，组织育种育苗、生产基地、仓储设施、科研院所、加工流通、产业协会、服务机构、电商平台、融资机构等经营主体，分区域、分产业提炼可复制可推广的建设运营模式，构建现代农牧业全产业链</w:t>
      </w:r>
      <w:r>
        <w:rPr>
          <w:rFonts w:hint="eastAsia" w:ascii="仿宋" w:hAnsi="仿宋" w:eastAsia="仿宋" w:cstheme="minorBidi"/>
          <w:sz w:val="32"/>
          <w:lang w:eastAsia="zh-CN"/>
        </w:rPr>
        <w:t>发展</w:t>
      </w:r>
      <w:r>
        <w:rPr>
          <w:rFonts w:ascii="仿宋" w:hAnsi="仿宋" w:eastAsia="仿宋" w:cstheme="minorBidi"/>
          <w:sz w:val="32"/>
        </w:rPr>
        <w:t>体系。</w:t>
      </w:r>
      <w:bookmarkStart w:id="241" w:name="_Toc6631"/>
      <w:bookmarkStart w:id="242" w:name="_Toc60561662"/>
      <w:bookmarkStart w:id="243" w:name="_Toc2013"/>
      <w:bookmarkStart w:id="244" w:name="_Toc22028"/>
      <w:bookmarkStart w:id="245" w:name="_Toc32650"/>
      <w:bookmarkStart w:id="246" w:name="_Toc59000515"/>
      <w:bookmarkStart w:id="247" w:name="_Toc58870107"/>
      <w:bookmarkStart w:id="248" w:name="_Toc30397"/>
    </w:p>
    <w:p w14:paraId="3A7F0C46">
      <w:pPr>
        <w:pStyle w:val="2"/>
        <w:pageBreakBefore w:val="0"/>
        <w:widowControl w:val="0"/>
        <w:kinsoku/>
        <w:wordWrap/>
        <w:overflowPunct/>
        <w:topLinePunct w:val="0"/>
        <w:autoSpaceDE/>
        <w:autoSpaceDN/>
        <w:bidi w:val="0"/>
        <w:adjustRightInd/>
        <w:snapToGrid/>
        <w:spacing w:after="156" w:afterLines="50" w:line="600" w:lineRule="exact"/>
        <w:jc w:val="center"/>
        <w:textAlignment w:val="auto"/>
        <w:rPr>
          <w:rFonts w:hint="eastAsia" w:ascii="方正小标宋简体" w:hAnsi="方正小标宋简体" w:eastAsia="方正小标宋简体" w:cs="方正小标宋简体"/>
          <w:b w:val="0"/>
          <w:bCs w:val="0"/>
          <w:sz w:val="32"/>
          <w:szCs w:val="36"/>
        </w:rPr>
      </w:pPr>
      <w:bookmarkStart w:id="249" w:name="_Toc725736920_WPSOffice_Level2"/>
      <w:r>
        <w:rPr>
          <w:rFonts w:hint="eastAsia" w:ascii="方正小标宋简体" w:hAnsi="方正小标宋简体" w:eastAsia="方正小标宋简体" w:cs="方正小标宋简体"/>
          <w:b w:val="0"/>
          <w:bCs w:val="0"/>
          <w:sz w:val="32"/>
          <w:szCs w:val="36"/>
        </w:rPr>
        <w:t>第二节 提升农畜产品加工能力和水平</w:t>
      </w:r>
      <w:bookmarkEnd w:id="241"/>
      <w:bookmarkEnd w:id="242"/>
      <w:bookmarkEnd w:id="243"/>
      <w:bookmarkEnd w:id="244"/>
      <w:bookmarkEnd w:id="245"/>
      <w:bookmarkEnd w:id="249"/>
    </w:p>
    <w:p w14:paraId="4FE925D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提升农畜产品精深加工水平。</w:t>
      </w:r>
      <w:r>
        <w:rPr>
          <w:rFonts w:hint="eastAsia" w:ascii="仿宋" w:hAnsi="仿宋" w:eastAsia="仿宋" w:cs="仿宋"/>
          <w:sz w:val="32"/>
          <w:szCs w:val="32"/>
        </w:rPr>
        <w:t>发挥锡林郭勒优质特色农畜产品集群优势</w:t>
      </w:r>
      <w:r>
        <w:rPr>
          <w:rFonts w:hint="eastAsia" w:ascii="仿宋" w:hAnsi="仿宋" w:eastAsia="仿宋" w:cs="仿宋"/>
          <w:sz w:val="32"/>
          <w:szCs w:val="32"/>
          <w:lang w:eastAsia="zh-CN"/>
        </w:rPr>
        <w:t>，</w:t>
      </w:r>
      <w:r>
        <w:rPr>
          <w:rFonts w:hint="eastAsia" w:ascii="仿宋" w:hAnsi="仿宋" w:eastAsia="仿宋" w:cs="仿宋"/>
          <w:sz w:val="32"/>
          <w:szCs w:val="32"/>
        </w:rPr>
        <w:t>大力发展农畜产品加工业</w:t>
      </w:r>
      <w:r>
        <w:rPr>
          <w:rFonts w:hint="eastAsia" w:ascii="仿宋" w:hAnsi="仿宋" w:eastAsia="仿宋" w:cs="仿宋"/>
          <w:sz w:val="32"/>
          <w:szCs w:val="32"/>
          <w:lang w:eastAsia="zh-CN"/>
        </w:rPr>
        <w:t>，</w:t>
      </w:r>
      <w:r>
        <w:rPr>
          <w:rFonts w:hint="eastAsia" w:ascii="仿宋" w:hAnsi="仿宋" w:eastAsia="仿宋" w:cs="仿宋"/>
          <w:sz w:val="32"/>
          <w:szCs w:val="32"/>
        </w:rPr>
        <w:t>打造一批绿色农畜产品精深加工产业基地。利用肉、乳、皮、脏器等畜产品资源</w:t>
      </w:r>
      <w:r>
        <w:rPr>
          <w:rFonts w:hint="eastAsia" w:ascii="仿宋" w:hAnsi="仿宋" w:eastAsia="仿宋" w:cs="仿宋"/>
          <w:sz w:val="32"/>
          <w:szCs w:val="32"/>
          <w:lang w:eastAsia="zh-CN"/>
        </w:rPr>
        <w:t>，</w:t>
      </w:r>
      <w:r>
        <w:rPr>
          <w:rFonts w:hint="eastAsia" w:ascii="仿宋" w:hAnsi="仿宋" w:eastAsia="仿宋" w:cs="仿宋"/>
          <w:sz w:val="32"/>
          <w:szCs w:val="32"/>
        </w:rPr>
        <w:t>升级延伸生熟肉类、高端乳品、生物医药、保健食品等产业链。利用绿色农产品资源</w:t>
      </w:r>
      <w:r>
        <w:rPr>
          <w:rFonts w:hint="eastAsia" w:ascii="仿宋" w:hAnsi="仿宋" w:eastAsia="仿宋" w:cs="仿宋"/>
          <w:sz w:val="32"/>
          <w:szCs w:val="32"/>
          <w:lang w:eastAsia="zh-CN"/>
        </w:rPr>
        <w:t>，</w:t>
      </w:r>
      <w:r>
        <w:rPr>
          <w:rFonts w:hint="eastAsia" w:ascii="仿宋" w:hAnsi="仿宋" w:eastAsia="仿宋" w:cs="仿宋"/>
          <w:sz w:val="32"/>
          <w:szCs w:val="32"/>
        </w:rPr>
        <w:t>升级延伸粮食、果蔬、油料、食糖、饲料、药材等精深加工产业链。提高传统奶制品、策格、亚麻籽油等产品的产业化、规模化水平。打造</w:t>
      </w:r>
      <w:r>
        <w:rPr>
          <w:rFonts w:hint="eastAsia" w:ascii="仿宋" w:hAnsi="仿宋" w:eastAsia="仿宋" w:cs="仿宋"/>
          <w:sz w:val="32"/>
          <w:szCs w:val="32"/>
          <w:lang w:eastAsia="zh-CN"/>
        </w:rPr>
        <w:t>以</w:t>
      </w:r>
      <w:r>
        <w:rPr>
          <w:rFonts w:hint="eastAsia" w:ascii="仿宋" w:hAnsi="仿宋" w:eastAsia="仿宋" w:cs="仿宋"/>
          <w:sz w:val="32"/>
          <w:szCs w:val="32"/>
        </w:rPr>
        <w:t>锡林浩特市、阿巴嘎旗、苏尼特左旗、苏尼特右旗、东乌珠穆沁旗、西乌珠穆沁旗等</w:t>
      </w:r>
      <w:r>
        <w:rPr>
          <w:rFonts w:hint="eastAsia" w:ascii="仿宋" w:hAnsi="仿宋" w:eastAsia="仿宋" w:cs="仿宋"/>
          <w:sz w:val="32"/>
          <w:szCs w:val="32"/>
          <w:lang w:eastAsia="zh-CN"/>
        </w:rPr>
        <w:t>地区为重点的</w:t>
      </w:r>
      <w:r>
        <w:rPr>
          <w:rFonts w:hint="eastAsia" w:ascii="仿宋" w:hAnsi="仿宋" w:eastAsia="仿宋" w:cs="仿宋"/>
          <w:sz w:val="32"/>
          <w:szCs w:val="32"/>
        </w:rPr>
        <w:t>牛羊肉加工基地</w:t>
      </w:r>
      <w:r>
        <w:rPr>
          <w:rFonts w:hint="eastAsia" w:ascii="仿宋" w:hAnsi="仿宋" w:eastAsia="仿宋" w:cs="仿宋"/>
          <w:sz w:val="32"/>
          <w:szCs w:val="32"/>
          <w:lang w:eastAsia="zh-CN"/>
        </w:rPr>
        <w:t>，打造以</w:t>
      </w:r>
      <w:r>
        <w:rPr>
          <w:rFonts w:hint="eastAsia" w:ascii="仿宋" w:hAnsi="仿宋" w:eastAsia="仿宋" w:cs="仿宋"/>
          <w:sz w:val="32"/>
          <w:szCs w:val="32"/>
        </w:rPr>
        <w:t>正蓝旗、镶黄旗、正镶白旗、锡林浩特市、阿巴嘎旗等</w:t>
      </w:r>
      <w:r>
        <w:rPr>
          <w:rFonts w:hint="eastAsia" w:ascii="仿宋" w:hAnsi="仿宋" w:eastAsia="仿宋" w:cs="仿宋"/>
          <w:sz w:val="32"/>
          <w:szCs w:val="32"/>
          <w:lang w:eastAsia="zh-CN"/>
        </w:rPr>
        <w:t>地区为重点的</w:t>
      </w:r>
      <w:r>
        <w:rPr>
          <w:rFonts w:hint="eastAsia" w:ascii="仿宋" w:hAnsi="仿宋" w:eastAsia="仿宋" w:cs="仿宋"/>
          <w:sz w:val="32"/>
          <w:szCs w:val="32"/>
        </w:rPr>
        <w:t>传统奶制品加工基地</w:t>
      </w:r>
      <w:r>
        <w:rPr>
          <w:rFonts w:hint="eastAsia" w:ascii="仿宋" w:hAnsi="仿宋" w:eastAsia="仿宋" w:cs="仿宋"/>
          <w:sz w:val="32"/>
          <w:szCs w:val="32"/>
          <w:lang w:eastAsia="zh-CN"/>
        </w:rPr>
        <w:t>，重点在</w:t>
      </w:r>
      <w:r>
        <w:rPr>
          <w:rFonts w:hint="eastAsia" w:ascii="仿宋" w:hAnsi="仿宋" w:eastAsia="仿宋" w:cs="仿宋"/>
          <w:sz w:val="32"/>
          <w:szCs w:val="32"/>
        </w:rPr>
        <w:t>南部农区</w:t>
      </w:r>
      <w:r>
        <w:rPr>
          <w:rFonts w:hint="eastAsia" w:ascii="仿宋" w:hAnsi="仿宋" w:eastAsia="仿宋" w:cs="仿宋"/>
          <w:sz w:val="32"/>
          <w:szCs w:val="32"/>
          <w:lang w:eastAsia="zh-CN"/>
        </w:rPr>
        <w:t>建设</w:t>
      </w:r>
      <w:r>
        <w:rPr>
          <w:rFonts w:hint="eastAsia" w:ascii="仿宋" w:hAnsi="仿宋" w:eastAsia="仿宋" w:cs="仿宋"/>
          <w:sz w:val="32"/>
          <w:szCs w:val="32"/>
        </w:rPr>
        <w:t>甜菜、油料、马铃薯、燕麦、藜麦等特色农产品加工基地。到2025年，全盟农畜产品加工业与农牧业总产值比达到1.8：1，</w:t>
      </w:r>
      <w:r>
        <w:rPr>
          <w:rFonts w:hint="eastAsia" w:ascii="仿宋" w:hAnsi="仿宋" w:eastAsia="仿宋" w:cs="仿宋"/>
          <w:sz w:val="32"/>
          <w:szCs w:val="32"/>
          <w:lang w:eastAsia="zh-CN"/>
        </w:rPr>
        <w:t>主要</w:t>
      </w:r>
      <w:r>
        <w:rPr>
          <w:rFonts w:hint="eastAsia" w:ascii="仿宋" w:hAnsi="仿宋" w:eastAsia="仿宋" w:cs="仿宋"/>
          <w:sz w:val="32"/>
          <w:szCs w:val="32"/>
        </w:rPr>
        <w:t>农畜产品加工转化率达到75%以上。</w:t>
      </w:r>
    </w:p>
    <w:p w14:paraId="266E0C5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推动</w:t>
      </w:r>
      <w:r>
        <w:rPr>
          <w:rFonts w:hint="eastAsia" w:ascii="仿宋" w:hAnsi="仿宋" w:eastAsia="仿宋" w:cs="仿宋"/>
          <w:b/>
          <w:bCs/>
          <w:sz w:val="32"/>
          <w:szCs w:val="32"/>
        </w:rPr>
        <w:t>特色乳制品</w:t>
      </w:r>
      <w:r>
        <w:rPr>
          <w:rFonts w:hint="eastAsia" w:ascii="仿宋" w:hAnsi="仿宋" w:eastAsia="仿宋" w:cs="仿宋"/>
          <w:b/>
          <w:bCs/>
          <w:sz w:val="32"/>
          <w:szCs w:val="32"/>
          <w:lang w:eastAsia="zh-CN"/>
        </w:rPr>
        <w:t>产业</w:t>
      </w:r>
      <w:r>
        <w:rPr>
          <w:rFonts w:hint="eastAsia" w:ascii="仿宋" w:hAnsi="仿宋" w:eastAsia="仿宋" w:cs="仿宋"/>
          <w:b/>
          <w:bCs/>
          <w:sz w:val="32"/>
          <w:szCs w:val="32"/>
        </w:rPr>
        <w:t>提档升级。</w:t>
      </w:r>
      <w:r>
        <w:rPr>
          <w:rFonts w:hint="eastAsia" w:ascii="仿宋" w:hAnsi="仿宋" w:eastAsia="仿宋" w:cs="仿宋"/>
          <w:sz w:val="32"/>
          <w:szCs w:val="32"/>
        </w:rPr>
        <w:t>完善地方特色乳制品奶源</w:t>
      </w:r>
      <w:r>
        <w:rPr>
          <w:rFonts w:hint="eastAsia" w:ascii="仿宋" w:hAnsi="仿宋" w:eastAsia="仿宋" w:cs="仿宋"/>
          <w:sz w:val="32"/>
          <w:szCs w:val="32"/>
          <w:lang w:eastAsia="zh-CN"/>
        </w:rPr>
        <w:t>生产</w:t>
      </w:r>
      <w:r>
        <w:rPr>
          <w:rFonts w:hint="eastAsia" w:ascii="仿宋" w:hAnsi="仿宋" w:eastAsia="仿宋" w:cs="仿宋"/>
          <w:sz w:val="32"/>
          <w:szCs w:val="32"/>
        </w:rPr>
        <w:t>、加工工艺、产品标准</w:t>
      </w:r>
      <w:r>
        <w:rPr>
          <w:rFonts w:hint="eastAsia" w:ascii="仿宋" w:hAnsi="仿宋" w:eastAsia="仿宋" w:cs="仿宋"/>
          <w:sz w:val="32"/>
          <w:szCs w:val="32"/>
          <w:lang w:eastAsia="zh-CN"/>
        </w:rPr>
        <w:t>体系</w:t>
      </w:r>
      <w:r>
        <w:rPr>
          <w:rFonts w:hint="eastAsia" w:ascii="仿宋" w:hAnsi="仿宋" w:eastAsia="仿宋" w:cs="仿宋"/>
          <w:sz w:val="32"/>
          <w:szCs w:val="32"/>
        </w:rPr>
        <w:t>和SC认证，促进乳制品</w:t>
      </w:r>
      <w:r>
        <w:rPr>
          <w:rFonts w:hint="eastAsia" w:ascii="仿宋" w:hAnsi="仿宋" w:eastAsia="仿宋" w:cs="仿宋"/>
          <w:sz w:val="32"/>
          <w:szCs w:val="32"/>
          <w:lang w:eastAsia="zh-CN"/>
        </w:rPr>
        <w:t>产业</w:t>
      </w:r>
      <w:r>
        <w:rPr>
          <w:rFonts w:hint="eastAsia" w:ascii="仿宋" w:hAnsi="仿宋" w:eastAsia="仿宋" w:cs="仿宋"/>
          <w:sz w:val="32"/>
          <w:szCs w:val="32"/>
        </w:rPr>
        <w:t>标准</w:t>
      </w:r>
      <w:r>
        <w:rPr>
          <w:rFonts w:hint="eastAsia" w:ascii="仿宋" w:hAnsi="仿宋" w:eastAsia="仿宋" w:cs="仿宋"/>
          <w:sz w:val="32"/>
          <w:szCs w:val="32"/>
          <w:lang w:eastAsia="zh-CN"/>
        </w:rPr>
        <w:t>化、规模化发展</w:t>
      </w:r>
      <w:r>
        <w:rPr>
          <w:rFonts w:hint="eastAsia" w:ascii="仿宋" w:hAnsi="仿宋" w:eastAsia="仿宋" w:cs="仿宋"/>
          <w:sz w:val="32"/>
          <w:szCs w:val="32"/>
        </w:rPr>
        <w:t>。</w:t>
      </w:r>
      <w:r>
        <w:rPr>
          <w:rFonts w:hint="eastAsia" w:ascii="仿宋" w:hAnsi="仿宋" w:eastAsia="仿宋" w:cs="仿宋"/>
          <w:sz w:val="32"/>
          <w:szCs w:val="32"/>
          <w:lang w:eastAsia="zh-CN"/>
        </w:rPr>
        <w:t>加强乳制品</w:t>
      </w:r>
      <w:r>
        <w:rPr>
          <w:rFonts w:hint="eastAsia" w:ascii="仿宋" w:hAnsi="仿宋" w:eastAsia="仿宋" w:cs="仿宋"/>
          <w:sz w:val="32"/>
          <w:szCs w:val="32"/>
        </w:rPr>
        <w:t>营养健康、高端产品</w:t>
      </w:r>
      <w:r>
        <w:rPr>
          <w:rFonts w:hint="eastAsia" w:ascii="仿宋" w:hAnsi="仿宋" w:eastAsia="仿宋" w:cs="仿宋"/>
          <w:sz w:val="32"/>
          <w:szCs w:val="32"/>
          <w:lang w:eastAsia="zh-CN"/>
        </w:rPr>
        <w:t>、质量保障</w:t>
      </w:r>
      <w:r>
        <w:rPr>
          <w:rFonts w:hint="eastAsia" w:ascii="仿宋" w:hAnsi="仿宋" w:eastAsia="仿宋" w:cs="仿宋"/>
          <w:sz w:val="32"/>
          <w:szCs w:val="32"/>
        </w:rPr>
        <w:t>等</w:t>
      </w:r>
      <w:r>
        <w:rPr>
          <w:rFonts w:hint="eastAsia" w:ascii="仿宋" w:hAnsi="仿宋" w:eastAsia="仿宋" w:cs="仿宋"/>
          <w:sz w:val="32"/>
          <w:szCs w:val="32"/>
          <w:lang w:eastAsia="zh-CN"/>
        </w:rPr>
        <w:t>方面</w:t>
      </w:r>
      <w:r>
        <w:rPr>
          <w:rFonts w:hint="eastAsia" w:ascii="仿宋" w:hAnsi="仿宋" w:eastAsia="仿宋" w:cs="仿宋"/>
          <w:sz w:val="32"/>
          <w:szCs w:val="32"/>
        </w:rPr>
        <w:t>研发</w:t>
      </w:r>
      <w:r>
        <w:rPr>
          <w:rFonts w:hint="eastAsia" w:ascii="仿宋" w:hAnsi="仿宋" w:eastAsia="仿宋" w:cs="仿宋"/>
          <w:sz w:val="32"/>
          <w:szCs w:val="32"/>
          <w:lang w:eastAsia="zh-CN"/>
        </w:rPr>
        <w:t>和</w:t>
      </w:r>
      <w:r>
        <w:rPr>
          <w:rFonts w:hint="eastAsia" w:ascii="仿宋" w:hAnsi="仿宋" w:eastAsia="仿宋" w:cs="仿宋"/>
          <w:sz w:val="32"/>
          <w:szCs w:val="32"/>
        </w:rPr>
        <w:t>应用</w:t>
      </w:r>
      <w:r>
        <w:rPr>
          <w:rFonts w:hint="eastAsia" w:ascii="仿宋" w:hAnsi="仿宋" w:eastAsia="仿宋" w:cs="仿宋"/>
          <w:sz w:val="32"/>
          <w:szCs w:val="32"/>
          <w:lang w:eastAsia="zh-CN"/>
        </w:rPr>
        <w:t>，</w:t>
      </w:r>
      <w:r>
        <w:rPr>
          <w:rFonts w:hint="eastAsia" w:ascii="仿宋" w:hAnsi="仿宋" w:eastAsia="仿宋" w:cs="仿宋"/>
          <w:sz w:val="32"/>
          <w:szCs w:val="32"/>
        </w:rPr>
        <w:t>推动乳制品</w:t>
      </w:r>
      <w:r>
        <w:rPr>
          <w:rFonts w:hint="eastAsia" w:ascii="仿宋" w:hAnsi="仿宋" w:eastAsia="仿宋" w:cs="仿宋"/>
          <w:sz w:val="32"/>
          <w:szCs w:val="32"/>
          <w:lang w:eastAsia="zh-CN"/>
        </w:rPr>
        <w:t>产业</w:t>
      </w:r>
      <w:r>
        <w:rPr>
          <w:rFonts w:hint="eastAsia" w:ascii="仿宋" w:hAnsi="仿宋" w:eastAsia="仿宋" w:cs="仿宋"/>
          <w:sz w:val="32"/>
          <w:szCs w:val="32"/>
        </w:rPr>
        <w:t>结构调整优化。开展地方特色乳制品加工标准化改造，支持以传统生产方式为基础</w:t>
      </w:r>
      <w:r>
        <w:rPr>
          <w:rFonts w:hint="eastAsia" w:ascii="仿宋" w:hAnsi="仿宋" w:eastAsia="仿宋" w:cs="仿宋"/>
          <w:sz w:val="32"/>
          <w:szCs w:val="32"/>
          <w:lang w:eastAsia="zh-CN"/>
        </w:rPr>
        <w:t>，利用</w:t>
      </w:r>
      <w:r>
        <w:rPr>
          <w:rFonts w:hint="eastAsia" w:ascii="仿宋" w:hAnsi="仿宋" w:eastAsia="仿宋" w:cs="仿宋"/>
          <w:sz w:val="32"/>
          <w:szCs w:val="32"/>
        </w:rPr>
        <w:t>现代化生产设备进行地方特色乳制品</w:t>
      </w:r>
      <w:r>
        <w:rPr>
          <w:rFonts w:hint="eastAsia" w:ascii="仿宋" w:hAnsi="仿宋" w:eastAsia="仿宋" w:cs="仿宋"/>
          <w:sz w:val="32"/>
          <w:szCs w:val="32"/>
          <w:lang w:eastAsia="zh-CN"/>
        </w:rPr>
        <w:t>企业</w:t>
      </w:r>
      <w:r>
        <w:rPr>
          <w:rFonts w:hint="eastAsia" w:ascii="仿宋" w:hAnsi="仿宋" w:eastAsia="仿宋" w:cs="仿宋"/>
          <w:sz w:val="32"/>
          <w:szCs w:val="32"/>
        </w:rPr>
        <w:t>化生产</w:t>
      </w:r>
      <w:r>
        <w:rPr>
          <w:rFonts w:hint="eastAsia" w:ascii="仿宋" w:hAnsi="仿宋" w:eastAsia="仿宋" w:cs="仿宋"/>
          <w:sz w:val="32"/>
          <w:szCs w:val="32"/>
          <w:lang w:eastAsia="zh-CN"/>
        </w:rPr>
        <w:t>，</w:t>
      </w:r>
      <w:r>
        <w:rPr>
          <w:rFonts w:hint="eastAsia" w:ascii="仿宋" w:hAnsi="仿宋" w:eastAsia="仿宋" w:cs="仿宋"/>
          <w:sz w:val="32"/>
          <w:szCs w:val="32"/>
        </w:rPr>
        <w:t>着力培育一批小而精、小而优、小而强的传统奶制品加工坊。鼓励发展奶酪等干乳制品生产，</w:t>
      </w:r>
      <w:r>
        <w:rPr>
          <w:rFonts w:hint="eastAsia" w:ascii="仿宋" w:hAnsi="仿宋" w:eastAsia="仿宋" w:cs="仿宋"/>
          <w:sz w:val="32"/>
          <w:szCs w:val="32"/>
          <w:lang w:eastAsia="zh-CN"/>
        </w:rPr>
        <w:t>满足多样化市场需求</w:t>
      </w:r>
      <w:r>
        <w:rPr>
          <w:rFonts w:hint="eastAsia" w:ascii="仿宋" w:hAnsi="仿宋" w:eastAsia="仿宋" w:cs="仿宋"/>
          <w:sz w:val="32"/>
          <w:szCs w:val="32"/>
        </w:rPr>
        <w:t>。挖掘马奶、驼奶保健价值，推广策格、驼奶等产品在医药领域的应用，延伸</w:t>
      </w:r>
      <w:r>
        <w:rPr>
          <w:rFonts w:hint="eastAsia" w:ascii="仿宋" w:hAnsi="仿宋" w:eastAsia="仿宋" w:cs="仿宋"/>
          <w:sz w:val="32"/>
          <w:szCs w:val="32"/>
          <w:lang w:eastAsia="zh-CN"/>
        </w:rPr>
        <w:t>加工</w:t>
      </w:r>
      <w:r>
        <w:rPr>
          <w:rFonts w:hint="eastAsia" w:ascii="仿宋" w:hAnsi="仿宋" w:eastAsia="仿宋" w:cs="仿宋"/>
          <w:sz w:val="32"/>
          <w:szCs w:val="32"/>
        </w:rPr>
        <w:t>产业链条、提高附加值。</w:t>
      </w:r>
      <w:r>
        <w:rPr>
          <w:rFonts w:hint="eastAsia" w:ascii="仿宋" w:hAnsi="仿宋" w:eastAsia="仿宋" w:cs="仿宋"/>
          <w:sz w:val="32"/>
          <w:szCs w:val="32"/>
          <w:lang w:eastAsia="zh-CN"/>
        </w:rPr>
        <w:t>到</w:t>
      </w:r>
      <w:r>
        <w:rPr>
          <w:rFonts w:hint="eastAsia" w:ascii="仿宋" w:hAnsi="仿宋" w:eastAsia="仿宋" w:cs="仿宋"/>
          <w:sz w:val="32"/>
          <w:szCs w:val="32"/>
          <w:lang w:val="en-US" w:eastAsia="zh-CN"/>
        </w:rPr>
        <w:t>2025年</w:t>
      </w:r>
      <w:r>
        <w:rPr>
          <w:rFonts w:hint="eastAsia" w:ascii="仿宋" w:hAnsi="仿宋" w:eastAsia="仿宋" w:cs="仿宋"/>
          <w:sz w:val="32"/>
          <w:szCs w:val="32"/>
        </w:rPr>
        <w:t>，创建传统奶制品标准化示范加工坊200家以上</w:t>
      </w:r>
      <w:r>
        <w:rPr>
          <w:rFonts w:hint="eastAsia" w:ascii="仿宋" w:hAnsi="仿宋" w:eastAsia="仿宋" w:cs="仿宋"/>
          <w:sz w:val="32"/>
          <w:szCs w:val="32"/>
          <w:lang w:eastAsia="zh-CN"/>
        </w:rPr>
        <w:t>。</w:t>
      </w:r>
    </w:p>
    <w:p w14:paraId="1A30A96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加强农畜副产品综合利用。</w:t>
      </w:r>
      <w:r>
        <w:rPr>
          <w:rFonts w:hint="eastAsia" w:ascii="仿宋" w:hAnsi="仿宋" w:eastAsia="仿宋" w:cs="仿宋"/>
          <w:sz w:val="32"/>
          <w:szCs w:val="32"/>
        </w:rPr>
        <w:t>按照集约节约、绿色发展要求，鼓励</w:t>
      </w:r>
      <w:r>
        <w:rPr>
          <w:rFonts w:hint="eastAsia" w:ascii="仿宋" w:hAnsi="仿宋" w:eastAsia="仿宋" w:cs="仿宋"/>
          <w:sz w:val="32"/>
          <w:szCs w:val="32"/>
          <w:lang w:eastAsia="zh-CN"/>
        </w:rPr>
        <w:t>引导</w:t>
      </w:r>
      <w:r>
        <w:rPr>
          <w:rFonts w:hint="eastAsia" w:ascii="仿宋" w:hAnsi="仿宋" w:eastAsia="仿宋" w:cs="仿宋"/>
          <w:sz w:val="32"/>
          <w:szCs w:val="32"/>
        </w:rPr>
        <w:t>农畜产品加工企业开展副产物循环高值梯次利用。加快绒毛、骨、血、脏器等副产物综合利用技术创新，开发新产品、新材料，实现资源多次增值、节能减排。支持龙头企业采取先进的提取、分离与制备技术，加快推进加工副产物综合利用技术研发与示范推广，提升农畜产品综合利用水平。</w:t>
      </w:r>
    </w:p>
    <w:p w14:paraId="259CCECA">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6"/>
        </w:rPr>
      </w:pPr>
      <w:bookmarkStart w:id="250" w:name="_Toc60561663"/>
      <w:bookmarkStart w:id="251" w:name="_Toc25218"/>
      <w:bookmarkStart w:id="252" w:name="_Toc11956"/>
      <w:bookmarkStart w:id="253" w:name="_Toc5498"/>
      <w:bookmarkStart w:id="254" w:name="_Toc9925"/>
      <w:bookmarkStart w:id="255" w:name="_Toc2023337273_WPSOffice_Level2"/>
      <w:r>
        <w:rPr>
          <w:rFonts w:hint="eastAsia" w:ascii="Calibri Light" w:hAnsi="Calibri Light" w:cs="Times New Roman"/>
          <w:b w:val="0"/>
          <w:bCs w:val="0"/>
          <w:sz w:val="32"/>
          <w:szCs w:val="36"/>
        </w:rPr>
        <w:t>第三节 完善农畜产品流通体系</w:t>
      </w:r>
      <w:bookmarkEnd w:id="246"/>
      <w:bookmarkEnd w:id="247"/>
      <w:bookmarkEnd w:id="248"/>
      <w:bookmarkEnd w:id="250"/>
      <w:bookmarkEnd w:id="251"/>
      <w:bookmarkEnd w:id="252"/>
      <w:bookmarkEnd w:id="253"/>
      <w:bookmarkEnd w:id="254"/>
      <w:bookmarkEnd w:id="255"/>
    </w:p>
    <w:p w14:paraId="15374AFD">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bookmarkStart w:id="256" w:name="_Toc58870108"/>
      <w:bookmarkStart w:id="257" w:name="_Toc25670"/>
      <w:bookmarkStart w:id="258" w:name="_Toc59000516"/>
      <w:r>
        <w:rPr>
          <w:rFonts w:hint="eastAsia" w:ascii="仿宋" w:hAnsi="仿宋" w:eastAsia="仿宋" w:cs="仿宋"/>
          <w:b/>
          <w:bCs/>
          <w:sz w:val="32"/>
          <w:szCs w:val="32"/>
        </w:rPr>
        <w:t>推进农畜产品产销对接。</w:t>
      </w:r>
      <w:r>
        <w:rPr>
          <w:rFonts w:hint="eastAsia" w:ascii="仿宋" w:hAnsi="仿宋" w:eastAsia="仿宋" w:cs="仿宋"/>
          <w:sz w:val="32"/>
          <w:szCs w:val="32"/>
        </w:rPr>
        <w:t>推动农村牧区商贸流通转型升级，有效解决和避免农畜产品产销对接</w:t>
      </w:r>
      <w:r>
        <w:rPr>
          <w:rFonts w:hint="eastAsia" w:ascii="仿宋" w:hAnsi="仿宋" w:eastAsia="仿宋" w:cs="仿宋"/>
          <w:sz w:val="32"/>
          <w:szCs w:val="32"/>
          <w:lang w:eastAsia="zh-CN"/>
        </w:rPr>
        <w:t>不畅</w:t>
      </w:r>
      <w:r>
        <w:rPr>
          <w:rFonts w:hint="eastAsia" w:ascii="仿宋" w:hAnsi="仿宋" w:eastAsia="仿宋" w:cs="仿宋"/>
          <w:sz w:val="32"/>
          <w:szCs w:val="32"/>
        </w:rPr>
        <w:t>、应急保供</w:t>
      </w:r>
      <w:r>
        <w:rPr>
          <w:rFonts w:hint="eastAsia" w:ascii="仿宋" w:hAnsi="仿宋" w:eastAsia="仿宋" w:cs="仿宋"/>
          <w:sz w:val="32"/>
          <w:szCs w:val="32"/>
          <w:lang w:eastAsia="zh-CN"/>
        </w:rPr>
        <w:t>不稳等</w:t>
      </w:r>
      <w:r>
        <w:rPr>
          <w:rFonts w:hint="eastAsia" w:ascii="仿宋" w:hAnsi="仿宋" w:eastAsia="仿宋" w:cs="仿宋"/>
          <w:sz w:val="32"/>
          <w:szCs w:val="32"/>
        </w:rPr>
        <w:t>问题，减少中间环节，降低流通成本。引导龙头企业、专业合作组织“走出去”，扩大产销对接，激励经营主体在</w:t>
      </w:r>
      <w:r>
        <w:rPr>
          <w:rFonts w:hint="eastAsia" w:ascii="仿宋" w:hAnsi="仿宋" w:eastAsia="仿宋" w:cs="仿宋"/>
          <w:sz w:val="32"/>
          <w:szCs w:val="32"/>
          <w:lang w:eastAsia="zh-CN"/>
        </w:rPr>
        <w:t>区</w:t>
      </w:r>
      <w:r>
        <w:rPr>
          <w:rFonts w:hint="eastAsia" w:ascii="仿宋" w:hAnsi="仿宋" w:eastAsia="仿宋" w:cs="仿宋"/>
          <w:sz w:val="32"/>
          <w:szCs w:val="32"/>
        </w:rPr>
        <w:t>内外重要消费市场建立直销配送网络。支持供销、邮政、快递及各类企业把服务网点向苏木乡镇和嘎查村延伸，建设现代化农畜产品仓储物流体系。支持农畜产品批发（交易）市场和饲草料交易市场建设，</w:t>
      </w:r>
      <w:r>
        <w:rPr>
          <w:rFonts w:hint="eastAsia" w:ascii="仿宋" w:hAnsi="仿宋" w:eastAsia="仿宋" w:cs="仿宋"/>
          <w:sz w:val="32"/>
          <w:szCs w:val="32"/>
          <w:lang w:eastAsia="zh-CN"/>
        </w:rPr>
        <w:t>畅通</w:t>
      </w:r>
      <w:r>
        <w:rPr>
          <w:rFonts w:hint="eastAsia" w:ascii="仿宋" w:hAnsi="仿宋" w:eastAsia="仿宋" w:cs="仿宋"/>
          <w:sz w:val="32"/>
          <w:szCs w:val="32"/>
        </w:rPr>
        <w:t>农畜产品进城、工业品下乡双向物流通道，保障农牧业生产资料供应。</w:t>
      </w:r>
    </w:p>
    <w:bookmarkEnd w:id="256"/>
    <w:bookmarkEnd w:id="257"/>
    <w:bookmarkEnd w:id="258"/>
    <w:p w14:paraId="4E3304D8">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加快农畜产品冷链物流体系建设。</w:t>
      </w:r>
      <w:r>
        <w:rPr>
          <w:rFonts w:hint="eastAsia" w:ascii="仿宋" w:hAnsi="仿宋" w:eastAsia="仿宋" w:cs="仿宋"/>
          <w:sz w:val="32"/>
          <w:szCs w:val="32"/>
        </w:rPr>
        <w:t>实施农畜产品冷链物流仓储示范基地项目，完善区域性农畜产品产地仓储冷链物流设施，加快农畜产品分拨、包装、预冷等集配装备和分拨仓、前置仓等仓储设施建设。支持苏木乡镇仓储冷链物流设施、嘎查村级仓储保鲜设施和电商服务</w:t>
      </w:r>
      <w:r>
        <w:rPr>
          <w:rFonts w:hint="eastAsia" w:ascii="仿宋" w:hAnsi="仿宋" w:eastAsia="仿宋" w:cs="仿宋"/>
          <w:sz w:val="32"/>
          <w:szCs w:val="32"/>
          <w:lang w:eastAsia="zh-CN"/>
        </w:rPr>
        <w:t>设施</w:t>
      </w:r>
      <w:r>
        <w:rPr>
          <w:rFonts w:hint="eastAsia" w:ascii="仿宋" w:hAnsi="仿宋" w:eastAsia="仿宋" w:cs="仿宋"/>
          <w:sz w:val="32"/>
          <w:szCs w:val="32"/>
        </w:rPr>
        <w:t>建设，依托农畜产品仓储保鲜冷链物流等项目，重点建设一批马铃薯储窖、果蔬储藏库、畜产品保鲜冷链物流等产地初加工设施</w:t>
      </w:r>
      <w:r>
        <w:rPr>
          <w:rFonts w:hint="eastAsia" w:ascii="仿宋" w:hAnsi="仿宋" w:eastAsia="仿宋" w:cs="仿宋"/>
          <w:sz w:val="32"/>
          <w:szCs w:val="32"/>
          <w:lang w:eastAsia="zh-CN"/>
        </w:rPr>
        <w:t>，</w:t>
      </w:r>
      <w:r>
        <w:rPr>
          <w:rFonts w:hint="eastAsia" w:ascii="仿宋" w:hAnsi="仿宋" w:eastAsia="仿宋" w:cs="仿宋"/>
          <w:sz w:val="32"/>
          <w:szCs w:val="32"/>
        </w:rPr>
        <w:t>改善仓储运输条件，实现错峰上市。</w:t>
      </w:r>
      <w:r>
        <w:rPr>
          <w:rFonts w:hint="eastAsia" w:ascii="仿宋" w:hAnsi="仿宋" w:eastAsia="仿宋" w:cs="仿宋"/>
          <w:sz w:val="32"/>
          <w:szCs w:val="32"/>
          <w:lang w:eastAsia="zh-CN"/>
        </w:rPr>
        <w:t>推动</w:t>
      </w:r>
      <w:r>
        <w:rPr>
          <w:rFonts w:hint="eastAsia" w:ascii="仿宋" w:hAnsi="仿宋" w:eastAsia="仿宋" w:cs="仿宋"/>
          <w:sz w:val="32"/>
          <w:szCs w:val="32"/>
        </w:rPr>
        <w:t>航空冷链物流</w:t>
      </w:r>
      <w:r>
        <w:rPr>
          <w:rFonts w:hint="eastAsia" w:ascii="仿宋" w:hAnsi="仿宋" w:eastAsia="仿宋" w:cs="仿宋"/>
          <w:sz w:val="32"/>
          <w:szCs w:val="32"/>
          <w:lang w:eastAsia="zh-CN"/>
        </w:rPr>
        <w:t>体系发展</w:t>
      </w:r>
      <w:r>
        <w:rPr>
          <w:rFonts w:hint="eastAsia" w:ascii="仿宋" w:hAnsi="仿宋" w:eastAsia="仿宋" w:cs="仿宋"/>
          <w:sz w:val="32"/>
          <w:szCs w:val="32"/>
        </w:rPr>
        <w:t>，保障温敏农畜产品航空运输安全，补齐我盟冷链物流短板。</w:t>
      </w:r>
    </w:p>
    <w:p w14:paraId="0D0C1BC4">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发展农村牧区电子商务。</w:t>
      </w:r>
      <w:r>
        <w:rPr>
          <w:rFonts w:hint="eastAsia" w:ascii="仿宋" w:hAnsi="仿宋" w:eastAsia="仿宋" w:cs="仿宋"/>
          <w:sz w:val="32"/>
          <w:szCs w:val="32"/>
        </w:rPr>
        <w:t>深入实施电子商务进农村牧区综合示范工程，打造“互联网+流通+服务”新模式，健全农村牧区电商公共服务体系，扩大电子商务农村牧区覆盖面。鼓励各类市场主体创新发展基于互联网的新型农牧业产业模式，开展“数商兴农”，以电商为核心打造上联生产、下联消费的新型农畜产品供应链条。</w:t>
      </w:r>
      <w:r>
        <w:rPr>
          <w:rFonts w:hint="eastAsia" w:ascii="仿宋" w:hAnsi="仿宋" w:eastAsia="仿宋" w:cs="仿宋"/>
          <w:sz w:val="32"/>
          <w:szCs w:val="32"/>
          <w:lang w:eastAsia="zh-CN"/>
        </w:rPr>
        <w:t>积极推广</w:t>
      </w:r>
      <w:r>
        <w:rPr>
          <w:rFonts w:hint="eastAsia" w:ascii="仿宋" w:hAnsi="仿宋" w:eastAsia="仿宋" w:cs="仿宋"/>
          <w:sz w:val="32"/>
          <w:szCs w:val="32"/>
        </w:rPr>
        <w:t>“电商企业+合作社+农牧户”、“电商企业+龙头企业+农牧户”等发展模式，探索政府参与打造带货平台、带货基地等方式，支持网红、直播等新型经营模式发展，鼓励电商企业与农牧户“结对子”</w:t>
      </w:r>
      <w:r>
        <w:rPr>
          <w:rFonts w:hint="eastAsia" w:ascii="仿宋" w:hAnsi="仿宋" w:eastAsia="仿宋" w:cs="仿宋"/>
          <w:sz w:val="32"/>
          <w:szCs w:val="32"/>
          <w:lang w:eastAsia="zh-CN"/>
        </w:rPr>
        <w:t>，</w:t>
      </w:r>
      <w:r>
        <w:rPr>
          <w:rFonts w:hint="eastAsia" w:ascii="仿宋" w:hAnsi="仿宋" w:eastAsia="仿宋" w:cs="仿宋"/>
          <w:sz w:val="32"/>
          <w:szCs w:val="32"/>
        </w:rPr>
        <w:t>让电商在乡村振兴中发挥更大作用。到2025年，基本建成覆盖全盟的电子商务服务支撑体系。</w:t>
      </w:r>
    </w:p>
    <w:p w14:paraId="71E8E8E2">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6"/>
        </w:rPr>
      </w:pPr>
      <w:bookmarkStart w:id="259" w:name="_Toc59000523"/>
      <w:bookmarkStart w:id="260" w:name="_Toc19740"/>
      <w:bookmarkStart w:id="261" w:name="_Toc2128170646_WPSOffice_Level2"/>
      <w:bookmarkStart w:id="262" w:name="_Toc9996"/>
      <w:bookmarkStart w:id="263" w:name="_Toc60561664"/>
      <w:bookmarkStart w:id="264" w:name="_Toc1761"/>
      <w:bookmarkStart w:id="265" w:name="_Toc17956"/>
      <w:bookmarkStart w:id="266" w:name="_Toc58870115"/>
      <w:bookmarkStart w:id="267" w:name="_Toc54452251"/>
      <w:bookmarkStart w:id="268" w:name="_Toc59000519"/>
      <w:bookmarkStart w:id="269" w:name="_Toc58870111"/>
      <w:bookmarkStart w:id="270" w:name="_Toc13941"/>
      <w:bookmarkStart w:id="271" w:name="_Toc54452256"/>
      <w:bookmarkStart w:id="272" w:name="_Toc14314"/>
      <w:r>
        <w:rPr>
          <w:rFonts w:hint="eastAsia" w:ascii="Calibri Light" w:hAnsi="Calibri Light" w:cs="Times New Roman"/>
          <w:b w:val="0"/>
          <w:bCs w:val="0"/>
          <w:sz w:val="32"/>
          <w:szCs w:val="36"/>
        </w:rPr>
        <w:t>第四节 发展农村牧区休闲旅游</w:t>
      </w:r>
      <w:bookmarkEnd w:id="259"/>
      <w:bookmarkEnd w:id="260"/>
      <w:bookmarkEnd w:id="261"/>
      <w:bookmarkEnd w:id="262"/>
      <w:bookmarkEnd w:id="263"/>
      <w:bookmarkEnd w:id="264"/>
      <w:bookmarkEnd w:id="265"/>
      <w:bookmarkEnd w:id="266"/>
    </w:p>
    <w:p w14:paraId="3A8FDF10">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优化农村牧区休闲旅游布局。</w:t>
      </w:r>
      <w:r>
        <w:rPr>
          <w:rFonts w:hint="eastAsia" w:ascii="仿宋" w:hAnsi="仿宋" w:eastAsia="仿宋" w:cs="仿宋"/>
          <w:sz w:val="32"/>
          <w:szCs w:val="32"/>
        </w:rPr>
        <w:t>依托锡林郭勒千里草原风景大道线路产品，打破行政区域壁垒，鼓励旗县市（区）互联互通，构建“一区、一线、两都、四片区、四环线、九组团”的总体空间布局结构，发展农村牧区休闲旅游。依托都市农牧业生产生态资源和城郊区位优势，发展农牧业生产体验、科普教育、健康养生等旅游业态</w:t>
      </w:r>
      <w:r>
        <w:rPr>
          <w:rFonts w:hint="eastAsia" w:ascii="仿宋" w:hAnsi="仿宋" w:eastAsia="仿宋" w:cs="仿宋"/>
          <w:sz w:val="32"/>
          <w:szCs w:val="32"/>
          <w:lang w:eastAsia="zh-CN"/>
        </w:rPr>
        <w:t>。依托优质自然资源</w:t>
      </w:r>
      <w:r>
        <w:rPr>
          <w:rFonts w:hint="eastAsia" w:ascii="仿宋" w:hAnsi="仿宋" w:eastAsia="仿宋" w:cs="仿宋"/>
          <w:sz w:val="32"/>
          <w:szCs w:val="32"/>
        </w:rPr>
        <w:t>，加快形成一批高质量、精品化的旅游</w:t>
      </w:r>
      <w:r>
        <w:rPr>
          <w:rFonts w:hint="eastAsia" w:ascii="仿宋" w:hAnsi="仿宋" w:eastAsia="仿宋" w:cs="仿宋"/>
          <w:sz w:val="32"/>
          <w:szCs w:val="32"/>
          <w:lang w:eastAsia="zh-CN"/>
        </w:rPr>
        <w:t>农</w:t>
      </w:r>
      <w:r>
        <w:rPr>
          <w:rFonts w:hint="eastAsia" w:ascii="仿宋" w:hAnsi="仿宋" w:eastAsia="仿宋" w:cs="仿宋"/>
          <w:sz w:val="32"/>
          <w:szCs w:val="32"/>
        </w:rPr>
        <w:t>牧场，实现与景区功能互补，建设农村牧区特色休闲旅游功能区。</w:t>
      </w:r>
    </w:p>
    <w:p w14:paraId="5AA5B321">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实施农村牧区休闲旅游精品工程。</w:t>
      </w:r>
      <w:r>
        <w:rPr>
          <w:rFonts w:hint="eastAsia" w:ascii="仿宋" w:hAnsi="仿宋" w:eastAsia="仿宋" w:cs="仿宋"/>
          <w:sz w:val="32"/>
          <w:szCs w:val="32"/>
          <w:lang w:eastAsia="zh-CN"/>
        </w:rPr>
        <w:t>发挥</w:t>
      </w:r>
      <w:r>
        <w:rPr>
          <w:rFonts w:hint="eastAsia" w:ascii="仿宋" w:hAnsi="仿宋" w:eastAsia="仿宋" w:cs="仿宋"/>
          <w:sz w:val="32"/>
          <w:szCs w:val="32"/>
        </w:rPr>
        <w:t>重点文化旅游产业项目带动</w:t>
      </w:r>
      <w:r>
        <w:rPr>
          <w:rFonts w:hint="eastAsia" w:ascii="仿宋" w:hAnsi="仿宋" w:eastAsia="仿宋" w:cs="仿宋"/>
          <w:sz w:val="32"/>
          <w:szCs w:val="32"/>
          <w:lang w:eastAsia="zh-CN"/>
        </w:rPr>
        <w:t>作用</w:t>
      </w:r>
      <w:r>
        <w:rPr>
          <w:rFonts w:hint="eastAsia" w:ascii="仿宋" w:hAnsi="仿宋" w:eastAsia="仿宋" w:cs="仿宋"/>
          <w:sz w:val="32"/>
          <w:szCs w:val="32"/>
        </w:rPr>
        <w:t>，加强规划引领，全力创建全域旅游示范区。依托草原畜牧业、特色种养殖、民俗风情等资源优势，着力推进产村融合发展，建设一批设施完备、业态丰富、功能完善</w:t>
      </w:r>
      <w:r>
        <w:rPr>
          <w:rFonts w:hint="eastAsia" w:ascii="仿宋" w:hAnsi="仿宋" w:eastAsia="仿宋" w:cs="仿宋"/>
          <w:sz w:val="32"/>
          <w:szCs w:val="32"/>
          <w:lang w:eastAsia="zh-CN"/>
        </w:rPr>
        <w:t>、</w:t>
      </w:r>
      <w:r>
        <w:rPr>
          <w:rFonts w:hint="eastAsia" w:ascii="仿宋" w:hAnsi="仿宋" w:eastAsia="仿宋" w:cs="仿宋"/>
          <w:sz w:val="32"/>
          <w:szCs w:val="32"/>
        </w:rPr>
        <w:t>知名度</w:t>
      </w:r>
      <w:r>
        <w:rPr>
          <w:rFonts w:hint="eastAsia" w:ascii="仿宋" w:hAnsi="仿宋" w:eastAsia="仿宋" w:cs="仿宋"/>
          <w:sz w:val="32"/>
          <w:szCs w:val="32"/>
          <w:lang w:eastAsia="zh-CN"/>
        </w:rPr>
        <w:t>高</w:t>
      </w:r>
      <w:r>
        <w:rPr>
          <w:rFonts w:hint="eastAsia" w:ascii="仿宋" w:hAnsi="仿宋" w:eastAsia="仿宋" w:cs="仿宋"/>
          <w:sz w:val="32"/>
          <w:szCs w:val="32"/>
        </w:rPr>
        <w:t>和影响力</w:t>
      </w:r>
      <w:r>
        <w:rPr>
          <w:rFonts w:hint="eastAsia" w:ascii="仿宋" w:hAnsi="仿宋" w:eastAsia="仿宋" w:cs="仿宋"/>
          <w:sz w:val="32"/>
          <w:szCs w:val="32"/>
          <w:lang w:eastAsia="zh-CN"/>
        </w:rPr>
        <w:t>强</w:t>
      </w:r>
      <w:r>
        <w:rPr>
          <w:rFonts w:hint="eastAsia" w:ascii="仿宋" w:hAnsi="仿宋" w:eastAsia="仿宋" w:cs="仿宋"/>
          <w:sz w:val="32"/>
          <w:szCs w:val="32"/>
        </w:rPr>
        <w:t>的休闲旅游</w:t>
      </w:r>
      <w:r>
        <w:rPr>
          <w:rFonts w:hint="eastAsia" w:ascii="仿宋" w:hAnsi="仿宋" w:eastAsia="仿宋" w:cs="仿宋"/>
          <w:sz w:val="32"/>
          <w:szCs w:val="32"/>
          <w:lang w:eastAsia="zh-CN"/>
        </w:rPr>
        <w:t>重点村镇</w:t>
      </w:r>
      <w:r>
        <w:rPr>
          <w:rFonts w:hint="eastAsia" w:ascii="仿宋" w:hAnsi="仿宋" w:eastAsia="仿宋" w:cs="仿宋"/>
          <w:sz w:val="32"/>
          <w:szCs w:val="32"/>
        </w:rPr>
        <w:t>。打造休闲旅游精品线路，根据休闲旅游消费升级需要，推介一批视觉美丽、体验美妙、内涵美好的农村牧区休闲旅游精品线路。</w:t>
      </w:r>
    </w:p>
    <w:p w14:paraId="6C57E48D">
      <w:pPr>
        <w:pageBreakBefore w:val="0"/>
        <w:widowControl w:val="0"/>
        <w:kinsoku/>
        <w:wordWrap/>
        <w:overflowPunct/>
        <w:topLinePunct w:val="0"/>
        <w:autoSpaceDE/>
        <w:autoSpaceDN/>
        <w:bidi w:val="0"/>
        <w:adjustRightInd/>
        <w:snapToGrid/>
        <w:spacing w:after="156" w:afterLines="50"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提升农村牧区休闲旅游品质。</w:t>
      </w:r>
      <w:r>
        <w:rPr>
          <w:rFonts w:hint="eastAsia" w:ascii="仿宋" w:hAnsi="仿宋" w:eastAsia="仿宋" w:cs="仿宋"/>
          <w:sz w:val="32"/>
          <w:szCs w:val="32"/>
        </w:rPr>
        <w:t>开发特色资源，发掘农牧业多种功能和农村牧区多重价值，发展特色突出、主题鲜明的农村牧区休闲旅游项目。坚持个性化、特色化发展方向，依托太仆寺旗御马苑景区、多伦湖景区、元上都遗址旅游区、蒙古汗城景区、乌拉盖九曲</w:t>
      </w:r>
      <w:r>
        <w:rPr>
          <w:rFonts w:hint="eastAsia" w:ascii="仿宋" w:hAnsi="仿宋" w:eastAsia="仿宋" w:cs="仿宋"/>
          <w:sz w:val="32"/>
          <w:szCs w:val="32"/>
          <w:lang w:eastAsia="zh-CN"/>
        </w:rPr>
        <w:t>弯</w:t>
      </w:r>
      <w:r>
        <w:rPr>
          <w:rFonts w:hint="eastAsia" w:ascii="仿宋" w:hAnsi="仿宋" w:eastAsia="仿宋" w:cs="仿宋"/>
          <w:sz w:val="32"/>
          <w:szCs w:val="32"/>
        </w:rPr>
        <w:t>等旅游景区，开发田园养生、研学科普、农耕体验、休闲垂钓、民宿康养等休闲农牧业。完善配套设施，加强农村牧区休闲旅游地区水、电、路、讯、网等设施建设，改善餐饮、住宿、休闲、体验、购物、停车等设施条件。加强部门联动，</w:t>
      </w:r>
      <w:r>
        <w:rPr>
          <w:rFonts w:hint="eastAsia" w:ascii="仿宋" w:hAnsi="仿宋" w:eastAsia="仿宋" w:cs="仿宋"/>
          <w:sz w:val="32"/>
          <w:szCs w:val="32"/>
          <w:lang w:eastAsia="zh-CN"/>
        </w:rPr>
        <w:t>强化</w:t>
      </w:r>
      <w:r>
        <w:rPr>
          <w:rFonts w:hint="eastAsia" w:ascii="仿宋" w:hAnsi="仿宋" w:eastAsia="仿宋" w:cs="仿宋"/>
          <w:sz w:val="32"/>
          <w:szCs w:val="32"/>
        </w:rPr>
        <w:t>监管责任，提升卫生安全</w:t>
      </w:r>
      <w:r>
        <w:rPr>
          <w:rFonts w:hint="eastAsia" w:ascii="仿宋" w:hAnsi="仿宋" w:eastAsia="仿宋" w:cs="仿宋"/>
          <w:sz w:val="32"/>
          <w:szCs w:val="32"/>
          <w:lang w:eastAsia="zh-CN"/>
        </w:rPr>
        <w:t>、</w:t>
      </w:r>
      <w:r>
        <w:rPr>
          <w:rFonts w:hint="eastAsia" w:ascii="仿宋" w:hAnsi="仿宋" w:eastAsia="仿宋" w:cs="仿宋"/>
          <w:sz w:val="32"/>
          <w:szCs w:val="32"/>
        </w:rPr>
        <w:t>食品安全等公共管理服务水平。</w:t>
      </w:r>
      <w:bookmarkStart w:id="273" w:name="_Toc60561666"/>
      <w:bookmarkStart w:id="274" w:name="_Toc22225"/>
      <w:bookmarkStart w:id="275" w:name="_Toc1991"/>
      <w:bookmarkStart w:id="276" w:name="_Toc1603"/>
      <w:bookmarkStart w:id="277" w:name="_Toc10188"/>
      <w:bookmarkStart w:id="278" w:name="_Toc1158793739_WPSOffice_Level2"/>
    </w:p>
    <w:p w14:paraId="0128E741">
      <w:pPr>
        <w:pageBreakBefore w:val="0"/>
        <w:widowControl w:val="0"/>
        <w:kinsoku/>
        <w:wordWrap/>
        <w:overflowPunct/>
        <w:topLinePunct w:val="0"/>
        <w:autoSpaceDE/>
        <w:autoSpaceDN/>
        <w:bidi w:val="0"/>
        <w:adjustRightInd/>
        <w:snapToGrid/>
        <w:spacing w:after="156" w:afterLines="50" w:line="6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第五节 </w:t>
      </w:r>
      <w:bookmarkEnd w:id="267"/>
      <w:r>
        <w:rPr>
          <w:rFonts w:hint="eastAsia" w:ascii="黑体" w:hAnsi="黑体" w:eastAsia="黑体" w:cs="黑体"/>
          <w:b w:val="0"/>
          <w:bCs w:val="0"/>
          <w:sz w:val="32"/>
          <w:szCs w:val="32"/>
        </w:rPr>
        <w:t>培育农畜产品区域公用品牌</w:t>
      </w:r>
      <w:bookmarkEnd w:id="268"/>
      <w:bookmarkEnd w:id="269"/>
      <w:bookmarkEnd w:id="270"/>
      <w:bookmarkEnd w:id="273"/>
      <w:bookmarkEnd w:id="274"/>
      <w:bookmarkEnd w:id="275"/>
      <w:bookmarkEnd w:id="276"/>
      <w:bookmarkEnd w:id="277"/>
      <w:bookmarkEnd w:id="278"/>
    </w:p>
    <w:bookmarkEnd w:id="271"/>
    <w:bookmarkEnd w:id="272"/>
    <w:p w14:paraId="61E72F8D">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加强区域公用品牌顶层设计。</w:t>
      </w:r>
      <w:r>
        <w:rPr>
          <w:rFonts w:hint="eastAsia" w:ascii="仿宋" w:hAnsi="仿宋" w:eastAsia="仿宋" w:cs="仿宋"/>
          <w:sz w:val="32"/>
          <w:szCs w:val="32"/>
          <w:lang w:eastAsia="zh-CN"/>
        </w:rPr>
        <w:t>强化</w:t>
      </w:r>
      <w:r>
        <w:rPr>
          <w:rFonts w:hint="eastAsia" w:ascii="仿宋" w:hAnsi="仿宋" w:eastAsia="仿宋" w:cs="仿宋"/>
          <w:sz w:val="32"/>
          <w:szCs w:val="32"/>
        </w:rPr>
        <w:t>农畜产品区域公用品牌培育工作，</w:t>
      </w:r>
      <w:r>
        <w:rPr>
          <w:rFonts w:hint="eastAsia" w:ascii="仿宋" w:hAnsi="仿宋" w:eastAsia="仿宋" w:cs="仿宋"/>
          <w:sz w:val="32"/>
          <w:szCs w:val="32"/>
          <w:lang w:eastAsia="zh-CN"/>
        </w:rPr>
        <w:t>突出</w:t>
      </w:r>
      <w:r>
        <w:rPr>
          <w:rFonts w:hint="eastAsia" w:ascii="仿宋" w:hAnsi="仿宋" w:eastAsia="仿宋" w:cs="仿宋"/>
          <w:sz w:val="32"/>
          <w:szCs w:val="32"/>
        </w:rPr>
        <w:t>顶层规划，立足资源禀赋，以市场为导向，重点扶持优势产业，以区域公用品牌为引领，带动品牌产业链</w:t>
      </w:r>
      <w:r>
        <w:rPr>
          <w:rFonts w:hint="eastAsia" w:ascii="仿宋" w:hAnsi="仿宋" w:eastAsia="仿宋" w:cs="仿宋"/>
          <w:sz w:val="32"/>
          <w:szCs w:val="32"/>
          <w:lang w:eastAsia="zh-CN"/>
        </w:rPr>
        <w:t>条</w:t>
      </w:r>
      <w:r>
        <w:rPr>
          <w:rFonts w:hint="eastAsia" w:ascii="仿宋" w:hAnsi="仿宋" w:eastAsia="仿宋" w:cs="仿宋"/>
          <w:sz w:val="32"/>
          <w:szCs w:val="32"/>
        </w:rPr>
        <w:t>各利益主体共同提效增收。通过专业机构制定各区域公用品牌发展战略规划，理顺公用品牌与企业品牌关系，突出重点、集中力量</w:t>
      </w:r>
      <w:r>
        <w:rPr>
          <w:rFonts w:hint="eastAsia" w:ascii="仿宋" w:hAnsi="仿宋" w:eastAsia="仿宋" w:cs="仿宋"/>
          <w:sz w:val="32"/>
          <w:szCs w:val="32"/>
          <w:lang w:eastAsia="zh-CN"/>
        </w:rPr>
        <w:t>，稳</w:t>
      </w:r>
      <w:r>
        <w:rPr>
          <w:rFonts w:hint="eastAsia" w:ascii="仿宋" w:hAnsi="仿宋" w:eastAsia="仿宋" w:cs="仿宋"/>
          <w:sz w:val="32"/>
          <w:szCs w:val="32"/>
        </w:rPr>
        <w:t>步推进区域公用品牌建设</w:t>
      </w:r>
      <w:r>
        <w:rPr>
          <w:rFonts w:hint="eastAsia" w:ascii="仿宋" w:hAnsi="仿宋" w:eastAsia="仿宋" w:cs="仿宋"/>
          <w:sz w:val="32"/>
          <w:szCs w:val="32"/>
          <w:lang w:eastAsia="zh-CN"/>
        </w:rPr>
        <w:t>工作</w:t>
      </w:r>
      <w:r>
        <w:rPr>
          <w:rFonts w:hint="eastAsia" w:ascii="仿宋" w:hAnsi="仿宋" w:eastAsia="仿宋" w:cs="仿宋"/>
          <w:sz w:val="32"/>
          <w:szCs w:val="32"/>
        </w:rPr>
        <w:t>。</w:t>
      </w:r>
    </w:p>
    <w:p w14:paraId="6E3D2B2F">
      <w:pPr>
        <w:pStyle w:val="2"/>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rPr>
      </w:pPr>
      <w:r>
        <w:rPr>
          <w:rFonts w:hint="eastAsia" w:ascii="仿宋" w:hAnsi="仿宋" w:eastAsia="仿宋" w:cs="仿宋"/>
          <w:b/>
          <w:bCs/>
          <w:sz w:val="32"/>
        </w:rPr>
        <w:t>打造核心产业品牌。</w:t>
      </w:r>
      <w:r>
        <w:rPr>
          <w:rFonts w:hint="eastAsia" w:ascii="仿宋" w:hAnsi="仿宋" w:eastAsia="仿宋" w:cs="仿宋"/>
          <w:sz w:val="32"/>
        </w:rPr>
        <w:t>落实《锡林郭勒羊区域公用品牌建设三年行动方案（2021-2023年）》要求，全面推进锡林郭勒羊区域公用品牌建设运营，抓好品质管控、品牌宣传、渠道建设各项工作，</w:t>
      </w:r>
      <w:r>
        <w:rPr>
          <w:rFonts w:hint="eastAsia" w:ascii="仿宋" w:hAnsi="仿宋" w:eastAsia="仿宋" w:cs="仿宋"/>
          <w:sz w:val="32"/>
          <w:lang w:eastAsia="zh-CN"/>
        </w:rPr>
        <w:t>通过</w:t>
      </w:r>
      <w:r>
        <w:rPr>
          <w:rFonts w:hint="eastAsia" w:ascii="仿宋" w:hAnsi="仿宋" w:eastAsia="仿宋" w:cs="仿宋"/>
          <w:sz w:val="32"/>
        </w:rPr>
        <w:t>提升锡林郭勒羊品牌知名度和影响力，推动肉羊产业链向下游延伸</w:t>
      </w:r>
      <w:r>
        <w:rPr>
          <w:rFonts w:hint="eastAsia" w:ascii="仿宋" w:hAnsi="仿宋" w:eastAsia="仿宋" w:cs="仿宋"/>
          <w:sz w:val="32"/>
          <w:lang w:eastAsia="zh-CN"/>
        </w:rPr>
        <w:t>、</w:t>
      </w:r>
      <w:r>
        <w:rPr>
          <w:rFonts w:hint="eastAsia" w:ascii="仿宋" w:hAnsi="仿宋" w:eastAsia="仿宋" w:cs="仿宋"/>
          <w:sz w:val="32"/>
        </w:rPr>
        <w:t>价值链向中高端攀升。稳步推进锡林郭勒牛区域公用品牌建设，加强“华西牛”新品种培育与“草原安格斯”、“草原夏洛莱”等新品系培育，积极打造以西门塔尔牛为主的中高端消费市场，以安格斯肉牛为主的高端消费市场。打造“锡林郭勒奶酪”区域公用品牌，开展锡林郭勒奶酪地理标志证明商标申报注册，制定实施品牌使用管理办法，做好品牌运营管理。鼓励支持开展阿巴嘎策格、苏尼特双峰驼、太仆寺旗藜麦等县域农畜产品区域公用品牌建设。到2025年，锡林郭勒农畜产品品牌效应显著提升</w:t>
      </w:r>
      <w:r>
        <w:rPr>
          <w:rFonts w:hint="eastAsia" w:ascii="仿宋" w:hAnsi="仿宋" w:eastAsia="仿宋" w:cs="仿宋"/>
          <w:sz w:val="32"/>
          <w:lang w:eastAsia="zh-CN"/>
        </w:rPr>
        <w:t>，</w:t>
      </w:r>
      <w:r>
        <w:rPr>
          <w:rFonts w:hint="eastAsia" w:ascii="仿宋" w:hAnsi="仿宋" w:eastAsia="仿宋" w:cs="仿宋"/>
          <w:sz w:val="32"/>
        </w:rPr>
        <w:t>培育有较高知名度的农畜产品区域公用品牌3个以上。</w:t>
      </w:r>
    </w:p>
    <w:p w14:paraId="6C380A1C">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完善农畜产品区域公用品牌运行机制。</w:t>
      </w:r>
      <w:r>
        <w:rPr>
          <w:rFonts w:hint="eastAsia" w:ascii="仿宋" w:hAnsi="仿宋" w:eastAsia="仿宋" w:cs="仿宋"/>
          <w:sz w:val="32"/>
          <w:szCs w:val="32"/>
        </w:rPr>
        <w:t>制定品牌产品生产、加工、流通等标准体系，加强区域公用品牌授权产品生产环境和产品质量监管，严把品牌产品检验关，设置达标生产基地奖励政策，加强标准示范推广，</w:t>
      </w:r>
      <w:r>
        <w:rPr>
          <w:rFonts w:hint="eastAsia" w:ascii="仿宋" w:hAnsi="仿宋" w:eastAsia="仿宋" w:cs="仿宋"/>
          <w:sz w:val="32"/>
          <w:szCs w:val="32"/>
          <w:lang w:eastAsia="zh-CN"/>
        </w:rPr>
        <w:t>强化</w:t>
      </w:r>
      <w:r>
        <w:rPr>
          <w:rFonts w:hint="eastAsia" w:ascii="仿宋" w:hAnsi="仿宋" w:eastAsia="仿宋" w:cs="仿宋"/>
          <w:sz w:val="32"/>
          <w:szCs w:val="32"/>
        </w:rPr>
        <w:t>产品质量可追溯体系建设。</w:t>
      </w:r>
      <w:r>
        <w:rPr>
          <w:rFonts w:hint="eastAsia" w:ascii="仿宋" w:hAnsi="仿宋" w:eastAsia="仿宋" w:cs="仿宋"/>
          <w:sz w:val="32"/>
          <w:szCs w:val="32"/>
          <w:lang w:eastAsia="zh-CN"/>
        </w:rPr>
        <w:t>充分</w:t>
      </w:r>
      <w:r>
        <w:rPr>
          <w:rFonts w:hint="eastAsia" w:ascii="仿宋" w:hAnsi="仿宋" w:eastAsia="仿宋" w:cs="仿宋"/>
          <w:sz w:val="32"/>
          <w:szCs w:val="32"/>
        </w:rPr>
        <w:t>发挥事业单位运营及行业协会产业管理作用，采取授权</w:t>
      </w:r>
      <w:r>
        <w:rPr>
          <w:rFonts w:hint="eastAsia" w:ascii="仿宋" w:hAnsi="仿宋" w:eastAsia="仿宋" w:cs="仿宋"/>
          <w:sz w:val="32"/>
          <w:szCs w:val="32"/>
          <w:lang w:eastAsia="zh-CN"/>
        </w:rPr>
        <w:t>、</w:t>
      </w:r>
      <w:r>
        <w:rPr>
          <w:rFonts w:hint="eastAsia" w:ascii="仿宋" w:hAnsi="仿宋" w:eastAsia="仿宋" w:cs="仿宋"/>
          <w:sz w:val="32"/>
          <w:szCs w:val="32"/>
        </w:rPr>
        <w:t>订单等模式，确定龙头企业、合作社、农牧户间合作模式，明确公用品牌与企业品牌</w:t>
      </w:r>
      <w:r>
        <w:rPr>
          <w:rFonts w:hint="eastAsia" w:ascii="仿宋" w:hAnsi="仿宋" w:eastAsia="仿宋" w:cs="仿宋"/>
          <w:sz w:val="32"/>
          <w:szCs w:val="32"/>
          <w:lang w:eastAsia="zh-CN"/>
        </w:rPr>
        <w:t>间</w:t>
      </w:r>
      <w:r>
        <w:rPr>
          <w:rFonts w:hint="eastAsia" w:ascii="仿宋" w:hAnsi="仿宋" w:eastAsia="仿宋" w:cs="仿宋"/>
          <w:sz w:val="32"/>
          <w:szCs w:val="32"/>
        </w:rPr>
        <w:t>的联合关系。构建品牌线上线下立体化市场营销体系，多方合作构建通达的物流体系。建设集办公、科研、贸易、物流、产业规划、大数据平台等为一体的品牌发展基地，整合优质资源，招募</w:t>
      </w:r>
      <w:r>
        <w:rPr>
          <w:rFonts w:hint="eastAsia" w:ascii="仿宋" w:hAnsi="仿宋" w:eastAsia="仿宋" w:cs="仿宋"/>
          <w:sz w:val="32"/>
          <w:szCs w:val="32"/>
          <w:lang w:eastAsia="zh-CN"/>
        </w:rPr>
        <w:t>产品</w:t>
      </w:r>
      <w:r>
        <w:rPr>
          <w:rFonts w:hint="eastAsia" w:ascii="仿宋" w:hAnsi="仿宋" w:eastAsia="仿宋" w:cs="仿宋"/>
          <w:sz w:val="32"/>
          <w:szCs w:val="32"/>
        </w:rPr>
        <w:t>加工、高新技术、电商物流、产品销售等企业入驻，</w:t>
      </w:r>
      <w:r>
        <w:rPr>
          <w:rFonts w:hint="eastAsia" w:ascii="仿宋" w:hAnsi="仿宋" w:eastAsia="仿宋" w:cs="仿宋"/>
          <w:sz w:val="32"/>
          <w:szCs w:val="32"/>
          <w:lang w:eastAsia="zh-CN"/>
        </w:rPr>
        <w:t>广泛</w:t>
      </w:r>
      <w:r>
        <w:rPr>
          <w:rFonts w:hint="eastAsia" w:ascii="仿宋" w:hAnsi="仿宋" w:eastAsia="仿宋" w:cs="仿宋"/>
          <w:sz w:val="32"/>
          <w:szCs w:val="32"/>
        </w:rPr>
        <w:t>汇集人才流、信息流、物流</w:t>
      </w:r>
      <w:r>
        <w:rPr>
          <w:rFonts w:hint="eastAsia" w:ascii="仿宋" w:hAnsi="仿宋" w:eastAsia="仿宋" w:cs="仿宋"/>
          <w:sz w:val="32"/>
          <w:szCs w:val="32"/>
          <w:lang w:eastAsia="zh-CN"/>
        </w:rPr>
        <w:t>和</w:t>
      </w:r>
      <w:r>
        <w:rPr>
          <w:rFonts w:hint="eastAsia" w:ascii="仿宋" w:hAnsi="仿宋" w:eastAsia="仿宋" w:cs="仿宋"/>
          <w:sz w:val="32"/>
          <w:szCs w:val="32"/>
        </w:rPr>
        <w:t>资金流，助推区域公用品牌发展。</w:t>
      </w:r>
    </w:p>
    <w:bookmarkEnd w:id="225"/>
    <w:bookmarkEnd w:id="226"/>
    <w:p w14:paraId="4BFA4643">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6"/>
        </w:rPr>
      </w:pPr>
      <w:bookmarkStart w:id="279" w:name="_Toc348925602_WPSOffice_Level2"/>
      <w:bookmarkStart w:id="280" w:name="_Toc13629"/>
      <w:bookmarkStart w:id="281" w:name="_Toc31103"/>
      <w:bookmarkStart w:id="282" w:name="_Toc28476"/>
      <w:bookmarkStart w:id="283" w:name="_Toc32293"/>
      <w:bookmarkStart w:id="284" w:name="_Toc60561668"/>
      <w:r>
        <w:rPr>
          <w:rFonts w:ascii="Calibri Light" w:hAnsi="Calibri Light" w:cs="Times New Roman"/>
          <w:b w:val="0"/>
          <w:bCs w:val="0"/>
          <w:sz w:val="32"/>
          <w:szCs w:val="36"/>
        </w:rPr>
        <w:t>第</w:t>
      </w:r>
      <w:r>
        <w:rPr>
          <w:rFonts w:hint="eastAsia" w:ascii="Calibri Light" w:hAnsi="Calibri Light" w:cs="Times New Roman"/>
          <w:b w:val="0"/>
          <w:bCs w:val="0"/>
          <w:sz w:val="32"/>
          <w:szCs w:val="36"/>
        </w:rPr>
        <w:t>六</w:t>
      </w:r>
      <w:r>
        <w:rPr>
          <w:rFonts w:ascii="Calibri Light" w:hAnsi="Calibri Light" w:cs="Times New Roman"/>
          <w:b w:val="0"/>
          <w:bCs w:val="0"/>
          <w:sz w:val="32"/>
          <w:szCs w:val="36"/>
        </w:rPr>
        <w:t>节 健全现代农牧业经营体系</w:t>
      </w:r>
      <w:bookmarkEnd w:id="279"/>
      <w:bookmarkEnd w:id="280"/>
      <w:bookmarkEnd w:id="281"/>
      <w:bookmarkEnd w:id="282"/>
      <w:bookmarkEnd w:id="283"/>
    </w:p>
    <w:p w14:paraId="61BB3D88">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培育新型农牧业经营主体。</w:t>
      </w:r>
      <w:r>
        <w:rPr>
          <w:rFonts w:hint="eastAsia" w:ascii="仿宋" w:hAnsi="仿宋" w:eastAsia="仿宋" w:cs="仿宋"/>
          <w:sz w:val="32"/>
          <w:szCs w:val="32"/>
        </w:rPr>
        <w:t>建立健全订单生产、保底收购、托管服务、股份合作、利润返还、土地流转、吸纳就业等多种形式的</w:t>
      </w:r>
      <w:r>
        <w:rPr>
          <w:rFonts w:hint="eastAsia" w:ascii="仿宋" w:hAnsi="仿宋" w:eastAsia="仿宋" w:cs="仿宋"/>
          <w:sz w:val="32"/>
          <w:szCs w:val="32"/>
          <w:lang w:eastAsia="zh-CN"/>
        </w:rPr>
        <w:t>农企</w:t>
      </w:r>
      <w:r>
        <w:rPr>
          <w:rFonts w:hint="eastAsia" w:ascii="仿宋" w:hAnsi="仿宋" w:eastAsia="仿宋" w:cs="仿宋"/>
          <w:sz w:val="32"/>
          <w:szCs w:val="32"/>
        </w:rPr>
        <w:t>利益联结机制，形成可复制推广模式。坚持家庭经营基础性地位，加快培育家庭农牧场、专业合作社、龙头企业等新型农牧业经营主体，发展多种形式的适度规模经营，引导农牧业规范化、规模化发展。</w:t>
      </w:r>
    </w:p>
    <w:p w14:paraId="04D334C0">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1.大力发展现代家庭农牧场。</w:t>
      </w:r>
      <w:r>
        <w:rPr>
          <w:rFonts w:hint="eastAsia" w:ascii="仿宋" w:hAnsi="仿宋" w:eastAsia="仿宋" w:cs="仿宋"/>
          <w:sz w:val="32"/>
          <w:szCs w:val="32"/>
        </w:rPr>
        <w:t>发展适度规模经营、联户经营的新型现代家庭农牧场，健全家庭农牧场名录管理制度，引导土地草牧场资源适度集聚，鼓励支持创办专业化、集约化的适度规模家庭农牧场、旅游牧场。开展家庭农牧场示范旗县创建</w:t>
      </w:r>
      <w:r>
        <w:rPr>
          <w:rFonts w:hint="eastAsia" w:ascii="仿宋" w:hAnsi="仿宋" w:eastAsia="仿宋" w:cs="仿宋"/>
          <w:sz w:val="32"/>
          <w:szCs w:val="32"/>
          <w:lang w:eastAsia="zh-CN"/>
        </w:rPr>
        <w:t>工作</w:t>
      </w:r>
      <w:r>
        <w:rPr>
          <w:rFonts w:hint="eastAsia" w:ascii="仿宋" w:hAnsi="仿宋" w:eastAsia="仿宋" w:cs="仿宋"/>
          <w:sz w:val="32"/>
          <w:szCs w:val="32"/>
        </w:rPr>
        <w:t>，强化典型引领作用。</w:t>
      </w:r>
      <w:r>
        <w:rPr>
          <w:rFonts w:hint="eastAsia" w:ascii="仿宋" w:hAnsi="仿宋" w:eastAsia="仿宋" w:cs="仿宋"/>
          <w:sz w:val="32"/>
          <w:szCs w:val="32"/>
          <w:lang w:eastAsia="zh-CN"/>
        </w:rPr>
        <w:t>加强</w:t>
      </w:r>
      <w:r>
        <w:rPr>
          <w:rFonts w:hint="eastAsia" w:ascii="仿宋" w:hAnsi="仿宋" w:eastAsia="仿宋" w:cs="仿宋"/>
          <w:sz w:val="32"/>
          <w:szCs w:val="32"/>
        </w:rPr>
        <w:t>标准化生产基地、标准化生产示范</w:t>
      </w:r>
      <w:r>
        <w:rPr>
          <w:rFonts w:hint="eastAsia" w:ascii="仿宋" w:hAnsi="仿宋" w:eastAsia="仿宋" w:cs="仿宋"/>
          <w:sz w:val="32"/>
          <w:szCs w:val="32"/>
          <w:lang w:eastAsia="zh-CN"/>
        </w:rPr>
        <w:t>农</w:t>
      </w:r>
      <w:r>
        <w:rPr>
          <w:rFonts w:hint="eastAsia" w:ascii="仿宋" w:hAnsi="仿宋" w:eastAsia="仿宋" w:cs="仿宋"/>
          <w:sz w:val="32"/>
          <w:szCs w:val="32"/>
        </w:rPr>
        <w:t>牧场、规模化养殖场建设</w:t>
      </w:r>
      <w:r>
        <w:rPr>
          <w:rFonts w:hint="eastAsia" w:ascii="仿宋" w:hAnsi="仿宋" w:eastAsia="仿宋" w:cs="仿宋"/>
          <w:sz w:val="32"/>
          <w:szCs w:val="32"/>
          <w:lang w:eastAsia="zh-CN"/>
        </w:rPr>
        <w:t>，</w:t>
      </w:r>
      <w:r>
        <w:rPr>
          <w:rFonts w:hint="eastAsia" w:ascii="仿宋" w:hAnsi="仿宋" w:eastAsia="仿宋" w:cs="仿宋"/>
          <w:sz w:val="32"/>
          <w:szCs w:val="32"/>
        </w:rPr>
        <w:t>指导家庭农牧场按照农牧业生产技术规范，建立可追溯生产记录，实现按标生产、优质优价。到2025年，力争各级示范家庭农牧场达到</w:t>
      </w:r>
      <w:r>
        <w:rPr>
          <w:rFonts w:hint="eastAsia" w:ascii="仿宋" w:hAnsi="仿宋" w:eastAsia="仿宋" w:cs="仿宋"/>
          <w:sz w:val="32"/>
          <w:szCs w:val="32"/>
          <w:lang w:val="en-US" w:eastAsia="zh-CN"/>
        </w:rPr>
        <w:t>2000</w:t>
      </w:r>
      <w:r>
        <w:rPr>
          <w:rFonts w:hint="eastAsia" w:ascii="仿宋" w:hAnsi="仿宋" w:eastAsia="仿宋" w:cs="仿宋"/>
          <w:sz w:val="32"/>
          <w:szCs w:val="32"/>
        </w:rPr>
        <w:t>家。</w:t>
      </w:r>
    </w:p>
    <w:p w14:paraId="05CF4494">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2.规范提升农牧民专业合作社。</w:t>
      </w:r>
      <w:r>
        <w:rPr>
          <w:rFonts w:hint="eastAsia" w:ascii="仿宋" w:hAnsi="仿宋" w:eastAsia="仿宋" w:cs="仿宋"/>
          <w:sz w:val="32"/>
          <w:szCs w:val="32"/>
        </w:rPr>
        <w:t>对农牧民合作社生产、供销、信用合作</w:t>
      </w:r>
      <w:r>
        <w:rPr>
          <w:rFonts w:hint="eastAsia" w:ascii="仿宋" w:hAnsi="仿宋" w:eastAsia="仿宋" w:cs="仿宋"/>
          <w:sz w:val="32"/>
          <w:szCs w:val="32"/>
          <w:lang w:eastAsia="zh-CN"/>
        </w:rPr>
        <w:t>进行</w:t>
      </w:r>
      <w:r>
        <w:rPr>
          <w:rFonts w:hint="eastAsia" w:ascii="仿宋" w:hAnsi="仿宋" w:eastAsia="仿宋" w:cs="仿宋"/>
          <w:sz w:val="32"/>
          <w:szCs w:val="32"/>
        </w:rPr>
        <w:t>功能定位，对现有农牧民合作社进行规范提升。开展农牧民合作社示范社评定工作，完善示范社评定指标体系</w:t>
      </w:r>
      <w:r>
        <w:rPr>
          <w:rFonts w:hint="eastAsia" w:ascii="仿宋" w:hAnsi="仿宋" w:eastAsia="仿宋" w:cs="仿宋"/>
          <w:sz w:val="32"/>
          <w:szCs w:val="32"/>
          <w:lang w:eastAsia="zh-CN"/>
        </w:rPr>
        <w:t>，加强</w:t>
      </w:r>
      <w:r>
        <w:rPr>
          <w:rFonts w:hint="eastAsia" w:ascii="仿宋" w:hAnsi="仿宋" w:eastAsia="仿宋" w:cs="仿宋"/>
          <w:sz w:val="32"/>
          <w:szCs w:val="32"/>
        </w:rPr>
        <w:t>国家、自治区、盟、旗示范社四级联创，</w:t>
      </w:r>
      <w:r>
        <w:rPr>
          <w:rFonts w:hint="eastAsia" w:ascii="仿宋" w:hAnsi="仿宋" w:eastAsia="仿宋" w:cs="仿宋"/>
          <w:sz w:val="32"/>
          <w:szCs w:val="32"/>
          <w:lang w:eastAsia="zh-CN"/>
        </w:rPr>
        <w:t>推进农牧民合作社质量提升整县试点工作</w:t>
      </w:r>
      <w:r>
        <w:rPr>
          <w:rFonts w:hint="eastAsia" w:ascii="仿宋" w:hAnsi="仿宋" w:eastAsia="仿宋" w:cs="仿宋"/>
          <w:sz w:val="32"/>
          <w:szCs w:val="32"/>
        </w:rPr>
        <w:t>。注重培育多种形式的新型农牧民合作组织，引导</w:t>
      </w:r>
      <w:r>
        <w:rPr>
          <w:rFonts w:hint="eastAsia" w:ascii="仿宋" w:hAnsi="仿宋" w:eastAsia="仿宋" w:cs="仿宋"/>
          <w:sz w:val="32"/>
          <w:szCs w:val="32"/>
          <w:lang w:eastAsia="zh-CN"/>
        </w:rPr>
        <w:t>农</w:t>
      </w:r>
      <w:r>
        <w:rPr>
          <w:rFonts w:hint="eastAsia" w:ascii="仿宋" w:hAnsi="仿宋" w:eastAsia="仿宋" w:cs="仿宋"/>
          <w:sz w:val="32"/>
          <w:szCs w:val="32"/>
        </w:rPr>
        <w:t>牧户进行资源整合、统一管理、联户规模经营，开展资源、资本、劳动、技术和销售等方面合作与联合。到2025年，力争各级示范农牧民合作社</w:t>
      </w:r>
      <w:r>
        <w:rPr>
          <w:rFonts w:hint="eastAsia" w:ascii="仿宋" w:hAnsi="仿宋" w:eastAsia="仿宋" w:cs="仿宋"/>
          <w:sz w:val="32"/>
          <w:szCs w:val="32"/>
          <w:lang w:eastAsia="zh-CN"/>
        </w:rPr>
        <w:t>达到</w:t>
      </w:r>
      <w:r>
        <w:rPr>
          <w:rFonts w:hint="eastAsia" w:ascii="仿宋" w:hAnsi="仿宋" w:eastAsia="仿宋" w:cs="仿宋"/>
          <w:sz w:val="32"/>
          <w:szCs w:val="32"/>
          <w:lang w:val="en-US" w:eastAsia="zh-CN"/>
        </w:rPr>
        <w:t>500</w:t>
      </w:r>
      <w:r>
        <w:rPr>
          <w:rFonts w:hint="eastAsia" w:ascii="仿宋" w:hAnsi="仿宋" w:eastAsia="仿宋" w:cs="仿宋"/>
          <w:sz w:val="32"/>
          <w:szCs w:val="32"/>
        </w:rPr>
        <w:t>个。</w:t>
      </w:r>
    </w:p>
    <w:p w14:paraId="503DC592">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3.大力培育农牧业龙头企业。</w:t>
      </w:r>
      <w:r>
        <w:rPr>
          <w:rFonts w:hint="eastAsia" w:ascii="仿宋" w:hAnsi="仿宋" w:eastAsia="仿宋" w:cs="仿宋"/>
          <w:sz w:val="32"/>
          <w:szCs w:val="32"/>
        </w:rPr>
        <w:t>加大对农牧业产业化龙头企业扶持力度，培育一批技术先进、行业集中度高、品牌影响大、产业链条长、市场竞争力强的大企业大集团。组建培育一批</w:t>
      </w:r>
      <w:r>
        <w:rPr>
          <w:rFonts w:hint="eastAsia" w:ascii="仿宋" w:hAnsi="仿宋" w:eastAsia="仿宋" w:cs="仿宋"/>
          <w:sz w:val="32"/>
          <w:szCs w:val="32"/>
          <w:lang w:eastAsia="zh-CN"/>
        </w:rPr>
        <w:t>以龙头企业为引领的</w:t>
      </w:r>
      <w:r>
        <w:rPr>
          <w:rFonts w:hint="eastAsia" w:ascii="仿宋" w:hAnsi="仿宋" w:eastAsia="仿宋" w:cs="仿宋"/>
          <w:sz w:val="32"/>
          <w:szCs w:val="32"/>
        </w:rPr>
        <w:t>农牧业产业化联合体，构建上下游相互衔接配套的全产业链，</w:t>
      </w:r>
      <w:r>
        <w:rPr>
          <w:rFonts w:hint="eastAsia" w:ascii="仿宋" w:hAnsi="仿宋" w:eastAsia="仿宋" w:cs="仿宋"/>
          <w:sz w:val="32"/>
          <w:szCs w:val="32"/>
          <w:lang w:eastAsia="zh-CN"/>
        </w:rPr>
        <w:t>完善</w:t>
      </w:r>
      <w:r>
        <w:rPr>
          <w:rFonts w:hint="eastAsia" w:ascii="仿宋" w:hAnsi="仿宋" w:eastAsia="仿宋" w:cs="仿宋"/>
          <w:sz w:val="32"/>
          <w:szCs w:val="32"/>
        </w:rPr>
        <w:t>龙头企业与合作社、家庭农</w:t>
      </w:r>
      <w:r>
        <w:rPr>
          <w:rFonts w:hint="eastAsia" w:ascii="仿宋" w:hAnsi="仿宋" w:eastAsia="仿宋" w:cs="仿宋"/>
          <w:sz w:val="32"/>
          <w:szCs w:val="32"/>
          <w:lang w:eastAsia="zh-CN"/>
        </w:rPr>
        <w:t>牧</w:t>
      </w:r>
      <w:r>
        <w:rPr>
          <w:rFonts w:hint="eastAsia" w:ascii="仿宋" w:hAnsi="仿宋" w:eastAsia="仿宋" w:cs="仿宋"/>
          <w:sz w:val="32"/>
          <w:szCs w:val="32"/>
        </w:rPr>
        <w:t>场、生产大户</w:t>
      </w:r>
      <w:r>
        <w:rPr>
          <w:rFonts w:hint="eastAsia" w:ascii="仿宋" w:hAnsi="仿宋" w:eastAsia="仿宋" w:cs="仿宋"/>
          <w:sz w:val="32"/>
          <w:szCs w:val="32"/>
          <w:lang w:eastAsia="zh-CN"/>
        </w:rPr>
        <w:t>间</w:t>
      </w:r>
      <w:r>
        <w:rPr>
          <w:rFonts w:hint="eastAsia" w:ascii="仿宋" w:hAnsi="仿宋" w:eastAsia="仿宋" w:cs="仿宋"/>
          <w:sz w:val="32"/>
          <w:szCs w:val="32"/>
        </w:rPr>
        <w:t>的利益联结机制，推动产加销一体化经营。</w:t>
      </w:r>
      <w:r>
        <w:rPr>
          <w:rFonts w:hint="eastAsia" w:ascii="仿宋" w:hAnsi="仿宋" w:eastAsia="仿宋" w:cs="仿宋"/>
          <w:sz w:val="32"/>
          <w:szCs w:val="32"/>
          <w:lang w:eastAsia="zh-CN"/>
        </w:rPr>
        <w:t>加强</w:t>
      </w:r>
      <w:r>
        <w:rPr>
          <w:rFonts w:hint="eastAsia" w:ascii="仿宋" w:hAnsi="仿宋" w:eastAsia="仿宋" w:cs="仿宋"/>
          <w:sz w:val="32"/>
          <w:szCs w:val="32"/>
        </w:rPr>
        <w:t>龙头企业监测认定工作。到2025年，盟级以上产业化龙头企业</w:t>
      </w:r>
      <w:r>
        <w:rPr>
          <w:rFonts w:hint="eastAsia" w:ascii="仿宋" w:hAnsi="仿宋" w:eastAsia="仿宋" w:cs="仿宋"/>
          <w:sz w:val="32"/>
          <w:szCs w:val="32"/>
          <w:lang w:eastAsia="zh-CN"/>
        </w:rPr>
        <w:t>达到</w:t>
      </w:r>
      <w:r>
        <w:rPr>
          <w:rFonts w:hint="eastAsia" w:ascii="仿宋" w:hAnsi="仿宋" w:eastAsia="仿宋" w:cs="仿宋"/>
          <w:sz w:val="32"/>
          <w:szCs w:val="32"/>
        </w:rPr>
        <w:t>120家，培育认定自治区农牧业产业化示范联合体20个、盟级农牧业产业化示范联合体40个。</w:t>
      </w:r>
    </w:p>
    <w:p w14:paraId="2B640008">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构建社会化服务体系。</w:t>
      </w:r>
      <w:r>
        <w:rPr>
          <w:rFonts w:hint="eastAsia" w:ascii="仿宋" w:hAnsi="仿宋" w:eastAsia="仿宋" w:cs="仿宋"/>
          <w:sz w:val="32"/>
          <w:szCs w:val="32"/>
        </w:rPr>
        <w:t>健全农牧业专业化社会化服务体系，</w:t>
      </w:r>
      <w:r>
        <w:rPr>
          <w:rFonts w:hint="eastAsia" w:ascii="仿宋" w:hAnsi="仿宋" w:eastAsia="仿宋" w:cs="仿宋"/>
          <w:sz w:val="32"/>
          <w:szCs w:val="32"/>
          <w:lang w:eastAsia="zh-CN"/>
        </w:rPr>
        <w:t>及时为</w:t>
      </w:r>
      <w:r>
        <w:rPr>
          <w:rFonts w:hint="eastAsia" w:ascii="仿宋" w:hAnsi="仿宋" w:eastAsia="仿宋" w:cs="仿宋"/>
          <w:sz w:val="32"/>
          <w:szCs w:val="32"/>
        </w:rPr>
        <w:t>农牧户</w:t>
      </w:r>
      <w:r>
        <w:rPr>
          <w:rFonts w:hint="eastAsia" w:ascii="仿宋" w:hAnsi="仿宋" w:eastAsia="仿宋" w:cs="仿宋"/>
          <w:sz w:val="32"/>
          <w:szCs w:val="32"/>
          <w:lang w:eastAsia="zh-CN"/>
        </w:rPr>
        <w:t>提供</w:t>
      </w:r>
      <w:r>
        <w:rPr>
          <w:rFonts w:hint="eastAsia" w:ascii="仿宋" w:hAnsi="仿宋" w:eastAsia="仿宋" w:cs="仿宋"/>
          <w:sz w:val="32"/>
          <w:szCs w:val="32"/>
        </w:rPr>
        <w:t>先进</w:t>
      </w:r>
      <w:r>
        <w:rPr>
          <w:rFonts w:hint="eastAsia" w:ascii="仿宋" w:hAnsi="仿宋" w:eastAsia="仿宋" w:cs="仿宋"/>
          <w:sz w:val="32"/>
          <w:szCs w:val="32"/>
          <w:lang w:eastAsia="zh-CN"/>
        </w:rPr>
        <w:t>实用</w:t>
      </w:r>
      <w:r>
        <w:rPr>
          <w:rFonts w:hint="eastAsia" w:ascii="仿宋" w:hAnsi="仿宋" w:eastAsia="仿宋" w:cs="仿宋"/>
          <w:sz w:val="32"/>
          <w:szCs w:val="32"/>
        </w:rPr>
        <w:t>品种、技术</w:t>
      </w:r>
      <w:r>
        <w:rPr>
          <w:rFonts w:hint="eastAsia" w:ascii="仿宋" w:hAnsi="仿宋" w:eastAsia="仿宋" w:cs="仿宋"/>
          <w:sz w:val="32"/>
          <w:szCs w:val="32"/>
          <w:lang w:eastAsia="zh-CN"/>
        </w:rPr>
        <w:t>和装备</w:t>
      </w:r>
      <w:r>
        <w:rPr>
          <w:rFonts w:hint="eastAsia" w:ascii="仿宋" w:hAnsi="仿宋" w:eastAsia="仿宋" w:cs="仿宋"/>
          <w:sz w:val="32"/>
          <w:szCs w:val="32"/>
        </w:rPr>
        <w:t>，</w:t>
      </w:r>
      <w:r>
        <w:rPr>
          <w:rFonts w:hint="eastAsia" w:ascii="仿宋" w:hAnsi="仿宋" w:eastAsia="仿宋" w:cs="仿宋"/>
          <w:sz w:val="32"/>
          <w:szCs w:val="32"/>
          <w:lang w:eastAsia="zh-CN"/>
        </w:rPr>
        <w:t>强化社会化服务组织的</w:t>
      </w:r>
      <w:r>
        <w:rPr>
          <w:rFonts w:hint="eastAsia" w:ascii="仿宋" w:hAnsi="仿宋" w:eastAsia="仿宋" w:cs="仿宋"/>
          <w:sz w:val="32"/>
          <w:szCs w:val="32"/>
        </w:rPr>
        <w:t>带动</w:t>
      </w:r>
      <w:r>
        <w:rPr>
          <w:rFonts w:hint="eastAsia" w:ascii="仿宋" w:hAnsi="仿宋" w:eastAsia="仿宋" w:cs="仿宋"/>
          <w:sz w:val="32"/>
          <w:szCs w:val="32"/>
          <w:lang w:eastAsia="zh-CN"/>
        </w:rPr>
        <w:t>促进作用</w:t>
      </w:r>
      <w:r>
        <w:rPr>
          <w:rFonts w:hint="eastAsia" w:ascii="仿宋" w:hAnsi="仿宋" w:eastAsia="仿宋" w:cs="仿宋"/>
          <w:sz w:val="32"/>
          <w:szCs w:val="32"/>
        </w:rPr>
        <w:t>，</w:t>
      </w:r>
      <w:r>
        <w:rPr>
          <w:rFonts w:hint="eastAsia" w:ascii="仿宋" w:hAnsi="仿宋" w:eastAsia="仿宋" w:cs="仿宋"/>
          <w:sz w:val="32"/>
          <w:szCs w:val="32"/>
          <w:lang w:eastAsia="zh-CN"/>
        </w:rPr>
        <w:t>推动</w:t>
      </w:r>
      <w:r>
        <w:rPr>
          <w:rFonts w:hint="eastAsia" w:ascii="仿宋" w:hAnsi="仿宋" w:eastAsia="仿宋" w:cs="仿宋"/>
          <w:sz w:val="32"/>
          <w:szCs w:val="32"/>
        </w:rPr>
        <w:t>农牧户</w:t>
      </w:r>
      <w:r>
        <w:rPr>
          <w:rFonts w:hint="eastAsia" w:ascii="仿宋" w:hAnsi="仿宋" w:eastAsia="仿宋" w:cs="仿宋"/>
          <w:sz w:val="32"/>
          <w:szCs w:val="32"/>
          <w:lang w:eastAsia="zh-CN"/>
        </w:rPr>
        <w:t>生产</w:t>
      </w:r>
      <w:r>
        <w:rPr>
          <w:rFonts w:hint="eastAsia" w:ascii="仿宋" w:hAnsi="仿宋" w:eastAsia="仿宋" w:cs="仿宋"/>
          <w:sz w:val="32"/>
          <w:szCs w:val="32"/>
        </w:rPr>
        <w:t>与现代农牧</w:t>
      </w:r>
      <w:r>
        <w:rPr>
          <w:rFonts w:hint="eastAsia" w:ascii="仿宋" w:hAnsi="仿宋" w:eastAsia="仿宋" w:cs="仿宋"/>
          <w:sz w:val="32"/>
          <w:szCs w:val="32"/>
          <w:lang w:eastAsia="zh-CN"/>
        </w:rPr>
        <w:t>产</w:t>
      </w:r>
      <w:r>
        <w:rPr>
          <w:rFonts w:hint="eastAsia" w:ascii="仿宋" w:hAnsi="仿宋" w:eastAsia="仿宋" w:cs="仿宋"/>
          <w:sz w:val="32"/>
          <w:szCs w:val="32"/>
        </w:rPr>
        <w:t>业</w:t>
      </w:r>
      <w:r>
        <w:rPr>
          <w:rFonts w:hint="eastAsia" w:ascii="仿宋" w:hAnsi="仿宋" w:eastAsia="仿宋" w:cs="仿宋"/>
          <w:sz w:val="32"/>
          <w:szCs w:val="32"/>
          <w:lang w:eastAsia="zh-CN"/>
        </w:rPr>
        <w:t>发展</w:t>
      </w:r>
      <w:r>
        <w:rPr>
          <w:rFonts w:hint="eastAsia" w:ascii="仿宋" w:hAnsi="仿宋" w:eastAsia="仿宋" w:cs="仿宋"/>
          <w:sz w:val="32"/>
          <w:szCs w:val="32"/>
        </w:rPr>
        <w:t>有机衔接。到2025年，</w:t>
      </w:r>
      <w:r>
        <w:rPr>
          <w:rFonts w:hint="eastAsia" w:ascii="仿宋" w:hAnsi="仿宋" w:eastAsia="仿宋" w:cs="仿宋"/>
          <w:sz w:val="32"/>
          <w:szCs w:val="32"/>
          <w:lang w:eastAsia="zh-CN"/>
        </w:rPr>
        <w:t>力争</w:t>
      </w:r>
      <w:r>
        <w:rPr>
          <w:rFonts w:hint="eastAsia" w:ascii="仿宋" w:hAnsi="仿宋" w:eastAsia="仿宋" w:cs="仿宋"/>
          <w:sz w:val="32"/>
          <w:szCs w:val="32"/>
        </w:rPr>
        <w:t>全面实行政府购买兽医社会化服务，农业生产托管社会化面积达到</w:t>
      </w:r>
      <w:r>
        <w:rPr>
          <w:rFonts w:hint="eastAsia" w:ascii="仿宋" w:hAnsi="仿宋" w:eastAsia="仿宋" w:cs="仿宋"/>
          <w:sz w:val="32"/>
          <w:szCs w:val="32"/>
          <w:lang w:val="en-US" w:eastAsia="zh-CN"/>
        </w:rPr>
        <w:t>30</w:t>
      </w:r>
      <w:r>
        <w:rPr>
          <w:rFonts w:hint="eastAsia" w:ascii="仿宋" w:hAnsi="仿宋" w:eastAsia="仿宋" w:cs="仿宋"/>
          <w:sz w:val="32"/>
          <w:szCs w:val="32"/>
        </w:rPr>
        <w:t>万亩以上，从事农牧业生产、畜牧兽医、饲草料储备及农牧业信息化等</w:t>
      </w:r>
      <w:r>
        <w:rPr>
          <w:rFonts w:hint="eastAsia" w:ascii="仿宋" w:hAnsi="仿宋" w:eastAsia="仿宋" w:cs="仿宋"/>
          <w:sz w:val="32"/>
          <w:szCs w:val="32"/>
          <w:lang w:eastAsia="zh-CN"/>
        </w:rPr>
        <w:t>方面</w:t>
      </w:r>
      <w:r>
        <w:rPr>
          <w:rFonts w:hint="eastAsia" w:ascii="仿宋" w:hAnsi="仿宋" w:eastAsia="仿宋" w:cs="仿宋"/>
          <w:sz w:val="32"/>
          <w:szCs w:val="32"/>
        </w:rPr>
        <w:t>社会化服务主体达到200个以上。</w:t>
      </w:r>
    </w:p>
    <w:p w14:paraId="59663F12">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1.完善社会化服务组织。</w:t>
      </w:r>
      <w:r>
        <w:rPr>
          <w:rFonts w:hint="eastAsia" w:ascii="仿宋" w:hAnsi="仿宋" w:eastAsia="仿宋" w:cs="仿宋"/>
          <w:sz w:val="32"/>
          <w:szCs w:val="32"/>
        </w:rPr>
        <w:t>发展农牧业生产性服务业，鼓励苏木乡镇农技推广、动植物防疫、农畜产品质量安全监管等公共服务机构，围绕农牧业适度规模经营拓展服务范围。探索发展多种形式的农牧业社会化服务组织，通过政府购买、定向委托、奖励补助等措施，引进和培育一批由企业、专业合作社、行业协会牵头</w:t>
      </w:r>
      <w:r>
        <w:rPr>
          <w:rFonts w:hint="eastAsia" w:ascii="仿宋" w:hAnsi="仿宋" w:eastAsia="仿宋" w:cs="仿宋"/>
          <w:sz w:val="32"/>
          <w:szCs w:val="32"/>
          <w:lang w:eastAsia="zh-CN"/>
        </w:rPr>
        <w:t>组建</w:t>
      </w:r>
      <w:r>
        <w:rPr>
          <w:rFonts w:hint="eastAsia" w:ascii="仿宋" w:hAnsi="仿宋" w:eastAsia="仿宋" w:cs="仿宋"/>
          <w:sz w:val="32"/>
          <w:szCs w:val="32"/>
        </w:rPr>
        <w:t>的农牧业服务组织，逐步构建专业化分工、服务体系充足、供需匹配的新型农牧业社会化服务体系。坚持因地制宜、市场运作、试点先行原则，重点抓好疫病防治、饲草料保障、羊毛</w:t>
      </w:r>
      <w:r>
        <w:rPr>
          <w:rFonts w:hint="eastAsia" w:ascii="仿宋" w:hAnsi="仿宋" w:eastAsia="仿宋" w:cs="仿宋"/>
          <w:sz w:val="32"/>
          <w:szCs w:val="32"/>
          <w:lang w:eastAsia="zh-CN"/>
        </w:rPr>
        <w:t>修剪</w:t>
      </w:r>
      <w:r>
        <w:rPr>
          <w:rFonts w:hint="eastAsia" w:ascii="仿宋" w:hAnsi="仿宋" w:eastAsia="仿宋" w:cs="仿宋"/>
          <w:sz w:val="32"/>
          <w:szCs w:val="32"/>
        </w:rPr>
        <w:t>、畜禽粪污处理、兽医服务、农业生产等方面的社会化服务试点工作。开展示范创建活动、培育一批“专业技术高</w:t>
      </w:r>
      <w:r>
        <w:rPr>
          <w:rFonts w:hint="eastAsia" w:ascii="仿宋" w:hAnsi="仿宋" w:eastAsia="仿宋" w:cs="仿宋"/>
          <w:sz w:val="32"/>
          <w:szCs w:val="32"/>
          <w:lang w:eastAsia="zh-CN"/>
        </w:rPr>
        <w:t>、</w:t>
      </w:r>
      <w:r>
        <w:rPr>
          <w:rFonts w:hint="eastAsia" w:ascii="仿宋" w:hAnsi="仿宋" w:eastAsia="仿宋" w:cs="仿宋"/>
          <w:sz w:val="32"/>
          <w:szCs w:val="32"/>
        </w:rPr>
        <w:t>服务能力强</w:t>
      </w:r>
      <w:r>
        <w:rPr>
          <w:rFonts w:hint="eastAsia" w:ascii="仿宋" w:hAnsi="仿宋" w:eastAsia="仿宋" w:cs="仿宋"/>
          <w:sz w:val="32"/>
          <w:szCs w:val="32"/>
          <w:lang w:eastAsia="zh-CN"/>
        </w:rPr>
        <w:t>、</w:t>
      </w:r>
      <w:r>
        <w:rPr>
          <w:rFonts w:hint="eastAsia" w:ascii="仿宋" w:hAnsi="仿宋" w:eastAsia="仿宋" w:cs="仿宋"/>
          <w:sz w:val="32"/>
          <w:szCs w:val="32"/>
        </w:rPr>
        <w:t>社会反映好”的示范服务组织。</w:t>
      </w:r>
    </w:p>
    <w:p w14:paraId="5EBCED00">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2.提升农牧业生产性服务能力。</w:t>
      </w:r>
      <w:r>
        <w:rPr>
          <w:rFonts w:hint="eastAsia" w:ascii="仿宋" w:hAnsi="仿宋" w:eastAsia="仿宋" w:cs="仿宋"/>
          <w:sz w:val="32"/>
          <w:szCs w:val="32"/>
        </w:rPr>
        <w:t>结合标准化生产和高效节水行动计划，引导生产性服务组织与农牧户以合作、承包、托管、半托管、参股、互助联营等形式，带动农牧户参与高效节水建设和标准化生产。鼓励引导农机服务主体通过跨区作业、订单作业、生产托管等多种形式，开展高效便捷的农机作业服务，推广“全程机械化+综合农事服务”等服务模式，增强农机农艺融合和先进技术应用能力。抓好</w:t>
      </w:r>
      <w:r>
        <w:rPr>
          <w:rFonts w:hint="eastAsia" w:ascii="仿宋" w:hAnsi="仿宋" w:eastAsia="仿宋" w:cs="仿宋"/>
          <w:sz w:val="32"/>
          <w:szCs w:val="32"/>
          <w:lang w:eastAsia="zh-CN"/>
        </w:rPr>
        <w:t>太仆寺旗</w:t>
      </w:r>
      <w:r>
        <w:rPr>
          <w:rFonts w:hint="eastAsia" w:ascii="仿宋" w:hAnsi="仿宋" w:eastAsia="仿宋" w:cs="仿宋"/>
          <w:sz w:val="32"/>
          <w:szCs w:val="32"/>
        </w:rPr>
        <w:t>社会化服务</w:t>
      </w:r>
      <w:r>
        <w:rPr>
          <w:rFonts w:hint="eastAsia" w:ascii="仿宋" w:hAnsi="仿宋" w:eastAsia="仿宋" w:cs="仿宋"/>
          <w:sz w:val="32"/>
          <w:szCs w:val="32"/>
          <w:lang w:eastAsia="zh-CN"/>
        </w:rPr>
        <w:t>拓展延伸</w:t>
      </w:r>
      <w:r>
        <w:rPr>
          <w:rFonts w:hint="eastAsia" w:ascii="仿宋" w:hAnsi="仿宋" w:eastAsia="仿宋" w:cs="仿宋"/>
          <w:sz w:val="32"/>
          <w:szCs w:val="32"/>
        </w:rPr>
        <w:t>试点</w:t>
      </w:r>
      <w:r>
        <w:rPr>
          <w:rFonts w:hint="eastAsia" w:ascii="仿宋" w:hAnsi="仿宋" w:eastAsia="仿宋" w:cs="仿宋"/>
          <w:sz w:val="32"/>
          <w:szCs w:val="32"/>
          <w:lang w:eastAsia="zh-CN"/>
        </w:rPr>
        <w:t>工作</w:t>
      </w:r>
      <w:r>
        <w:rPr>
          <w:rFonts w:hint="eastAsia" w:ascii="仿宋" w:hAnsi="仿宋" w:eastAsia="仿宋" w:cs="仿宋"/>
          <w:sz w:val="32"/>
          <w:szCs w:val="32"/>
        </w:rPr>
        <w:t>，探索符合我盟实际的组织形式和经营模式。加强社会化服务</w:t>
      </w:r>
      <w:r>
        <w:rPr>
          <w:rFonts w:hint="eastAsia" w:ascii="仿宋" w:hAnsi="仿宋" w:eastAsia="仿宋" w:cs="仿宋"/>
          <w:sz w:val="32"/>
          <w:szCs w:val="32"/>
          <w:lang w:eastAsia="zh-CN"/>
        </w:rPr>
        <w:t>工作</w:t>
      </w:r>
      <w:r>
        <w:rPr>
          <w:rFonts w:hint="eastAsia" w:ascii="仿宋" w:hAnsi="仿宋" w:eastAsia="仿宋" w:cs="仿宋"/>
          <w:sz w:val="32"/>
          <w:szCs w:val="32"/>
        </w:rPr>
        <w:t>调查研究，总结典型经验，推广创新做法，发挥典型示范引领作用。</w:t>
      </w:r>
    </w:p>
    <w:p w14:paraId="184DE995">
      <w:pPr>
        <w:pageBreakBefore w:val="0"/>
        <w:widowControl w:val="0"/>
        <w:kinsoku/>
        <w:wordWrap/>
        <w:overflowPunct/>
        <w:topLinePunct w:val="0"/>
        <w:autoSpaceDE/>
        <w:autoSpaceDN/>
        <w:bidi w:val="0"/>
        <w:adjustRightInd/>
        <w:snapToGrid/>
        <w:spacing w:after="156" w:afterLines="50" w:line="600" w:lineRule="exact"/>
        <w:ind w:firstLine="643" w:firstLineChars="200"/>
        <w:textAlignment w:val="auto"/>
        <w:rPr>
          <w:sz w:val="32"/>
        </w:rPr>
      </w:pPr>
      <w:r>
        <w:rPr>
          <w:rFonts w:hint="eastAsia" w:ascii="仿宋" w:hAnsi="仿宋" w:eastAsia="仿宋" w:cs="仿宋"/>
          <w:b/>
          <w:sz w:val="32"/>
          <w:szCs w:val="32"/>
        </w:rPr>
        <w:t>3.推进智慧农牧业发展。</w:t>
      </w:r>
      <w:r>
        <w:rPr>
          <w:rFonts w:hint="eastAsia" w:ascii="仿宋" w:hAnsi="仿宋" w:eastAsia="仿宋" w:cs="仿宋"/>
          <w:sz w:val="32"/>
          <w:szCs w:val="32"/>
        </w:rPr>
        <w:t>鼓励互联网企业建立产加销衔接的农牧业服务平台，加强农牧业信息监测预警和发布。</w:t>
      </w:r>
      <w:r>
        <w:rPr>
          <w:rFonts w:hint="eastAsia" w:ascii="仿宋" w:hAnsi="仿宋" w:eastAsia="仿宋" w:cs="仿宋"/>
          <w:sz w:val="32"/>
          <w:szCs w:val="32"/>
          <w:lang w:eastAsia="zh-CN"/>
        </w:rPr>
        <w:t>发挥</w:t>
      </w:r>
      <w:r>
        <w:rPr>
          <w:rFonts w:hint="eastAsia" w:ascii="仿宋" w:hAnsi="仿宋" w:eastAsia="仿宋" w:cs="仿宋"/>
          <w:sz w:val="32"/>
          <w:szCs w:val="32"/>
        </w:rPr>
        <w:t>“12316”三农服务热线和“两微一端一门户”服务功能，提高农牧业综合信息化服务水平</w:t>
      </w:r>
      <w:r>
        <w:rPr>
          <w:rFonts w:hint="eastAsia" w:ascii="仿宋" w:hAnsi="仿宋" w:eastAsia="仿宋" w:cs="仿宋"/>
          <w:sz w:val="32"/>
          <w:szCs w:val="32"/>
          <w:lang w:eastAsia="zh-CN"/>
        </w:rPr>
        <w:t>。</w:t>
      </w:r>
      <w:r>
        <w:rPr>
          <w:rFonts w:hint="eastAsia" w:ascii="仿宋" w:hAnsi="仿宋" w:eastAsia="仿宋" w:cs="仿宋"/>
          <w:sz w:val="32"/>
          <w:szCs w:val="32"/>
        </w:rPr>
        <w:t>鼓励对农牧业生产进行数字化智能化改造，推广适合农村牧区特点的信息技术、产品、应用和服务。加强农牧业遥感和物联网应用，提高农牧业发展智能化水平。加快智慧牧场建设，推进肉羊、肉牛、奶牛养殖牧场的智能化改造，配套完善电子识别、智能监控、精准饲喂、粪污处理等数字化设备，带动全盟畜牧业生产</w:t>
      </w:r>
      <w:r>
        <w:rPr>
          <w:rFonts w:hint="eastAsia" w:ascii="仿宋" w:hAnsi="仿宋" w:eastAsia="仿宋" w:cs="仿宋"/>
          <w:sz w:val="32"/>
          <w:szCs w:val="32"/>
          <w:lang w:eastAsia="zh-CN"/>
        </w:rPr>
        <w:t>现代化</w:t>
      </w:r>
      <w:r>
        <w:rPr>
          <w:rFonts w:hint="eastAsia" w:ascii="仿宋" w:hAnsi="仿宋" w:eastAsia="仿宋" w:cs="仿宋"/>
          <w:sz w:val="32"/>
          <w:szCs w:val="32"/>
        </w:rPr>
        <w:t>发展。</w:t>
      </w:r>
    </w:p>
    <w:tbl>
      <w:tblPr>
        <w:tblStyle w:val="26"/>
        <w:tblW w:w="85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0" w:type="dxa"/>
          <w:bottom w:w="0" w:type="dxa"/>
          <w:right w:w="0" w:type="dxa"/>
        </w:tblCellMar>
      </w:tblPr>
      <w:tblGrid>
        <w:gridCol w:w="8520"/>
      </w:tblGrid>
      <w:tr w14:paraId="78EF7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c>
          <w:tcPr>
            <w:tcW w:w="8520" w:type="dxa"/>
            <w:shd w:val="clear" w:color="auto" w:fill="FFFFFF" w:themeFill="background1"/>
            <w:tcMar>
              <w:left w:w="108" w:type="dxa"/>
              <w:right w:w="108" w:type="dxa"/>
            </w:tcMar>
            <w:vAlign w:val="center"/>
          </w:tcPr>
          <w:p w14:paraId="2F62D332">
            <w:pPr>
              <w:pStyle w:val="22"/>
              <w:spacing w:before="0" w:beforeAutospacing="0" w:after="0" w:afterAutospacing="0" w:line="560" w:lineRule="exact"/>
              <w:jc w:val="center"/>
              <w:rPr>
                <w:rFonts w:ascii="Times New Roman" w:hAnsi="Times New Roman" w:eastAsia="仿宋_GB2312"/>
                <w:szCs w:val="28"/>
              </w:rPr>
            </w:pPr>
            <w:r>
              <w:rPr>
                <w:rFonts w:hint="eastAsia" w:ascii="黑体" w:hAnsi="黑体" w:eastAsia="黑体" w:cs="黑体"/>
                <w:b w:val="0"/>
                <w:bCs w:val="0"/>
                <w:sz w:val="28"/>
                <w:szCs w:val="28"/>
              </w:rPr>
              <w:t>专栏3</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农村牧区一二三产业融合发展工程</w:t>
            </w:r>
          </w:p>
        </w:tc>
      </w:tr>
      <w:tr w14:paraId="1700D9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520" w:type="dxa"/>
            <w:shd w:val="clear" w:color="auto" w:fill="FFFFFF" w:themeFill="background1"/>
            <w:tcMar>
              <w:left w:w="108" w:type="dxa"/>
              <w:right w:w="108" w:type="dxa"/>
            </w:tcMar>
            <w:vAlign w:val="center"/>
          </w:tcPr>
          <w:p w14:paraId="2B277FEC">
            <w:pPr>
              <w:pStyle w:val="45"/>
              <w:keepNext w:val="0"/>
              <w:keepLines w:val="0"/>
              <w:pageBreakBefore w:val="0"/>
              <w:kinsoku/>
              <w:wordWrap/>
              <w:overflowPunct/>
              <w:topLinePunct w:val="0"/>
              <w:autoSpaceDE/>
              <w:autoSpaceDN/>
              <w:bidi w:val="0"/>
              <w:adjustRightInd/>
              <w:snapToGrid/>
              <w:spacing w:line="360" w:lineRule="exact"/>
              <w:ind w:left="210" w:right="210" w:firstLine="480"/>
              <w:textAlignment w:val="auto"/>
              <w:rPr>
                <w:rFonts w:ascii="仿宋" w:hAnsi="仿宋" w:eastAsia="仿宋" w:cstheme="minorBidi"/>
                <w:sz w:val="24"/>
              </w:rPr>
            </w:pPr>
            <w:r>
              <w:rPr>
                <w:rFonts w:hint="eastAsia" w:ascii="黑体" w:hAnsi="黑体" w:eastAsia="黑体" w:cstheme="minorBidi"/>
                <w:sz w:val="24"/>
              </w:rPr>
              <w:t>1</w:t>
            </w:r>
            <w:r>
              <w:rPr>
                <w:rFonts w:ascii="黑体" w:hAnsi="黑体" w:eastAsia="黑体" w:cstheme="minorBidi"/>
                <w:sz w:val="24"/>
              </w:rPr>
              <w:t>.优势产业集群建设</w:t>
            </w:r>
            <w:r>
              <w:rPr>
                <w:rFonts w:hint="eastAsia" w:ascii="黑体" w:hAnsi="黑体" w:eastAsia="黑体" w:cstheme="minorBidi"/>
                <w:sz w:val="24"/>
                <w:lang w:eastAsia="zh-CN"/>
              </w:rPr>
              <w:t>。</w:t>
            </w:r>
            <w:r>
              <w:rPr>
                <w:rFonts w:ascii="仿宋" w:hAnsi="仿宋" w:eastAsia="仿宋" w:cstheme="minorBidi"/>
                <w:sz w:val="24"/>
              </w:rPr>
              <w:t>围绕肉羊、肉牛等优势特色产业，重点支持规模生产基地标准化和商品化生产、农畜产品初加工、深加工和物流设施建设、农牧业全产业链数字化等新基建建设、市场品牌体系和公共服务平台建设以及经营主体和服务主体培育壮大等方面，打造具有</w:t>
            </w:r>
            <w:r>
              <w:rPr>
                <w:rFonts w:hint="eastAsia" w:ascii="仿宋" w:hAnsi="仿宋" w:eastAsia="仿宋" w:cstheme="minorBidi"/>
                <w:sz w:val="24"/>
                <w:lang w:eastAsia="zh-CN"/>
              </w:rPr>
              <w:t>较</w:t>
            </w:r>
            <w:r>
              <w:rPr>
                <w:rFonts w:ascii="仿宋" w:hAnsi="仿宋" w:eastAsia="仿宋" w:cstheme="minorBidi"/>
                <w:sz w:val="24"/>
              </w:rPr>
              <w:t>强综合竞争力的现代农牧业产业集群。</w:t>
            </w:r>
          </w:p>
          <w:p w14:paraId="5F01B86B">
            <w:pPr>
              <w:pStyle w:val="45"/>
              <w:keepNext w:val="0"/>
              <w:keepLines w:val="0"/>
              <w:pageBreakBefore w:val="0"/>
              <w:kinsoku/>
              <w:wordWrap/>
              <w:overflowPunct/>
              <w:topLinePunct w:val="0"/>
              <w:autoSpaceDE/>
              <w:autoSpaceDN/>
              <w:bidi w:val="0"/>
              <w:adjustRightInd/>
              <w:snapToGrid/>
              <w:spacing w:line="360" w:lineRule="exact"/>
              <w:ind w:left="210" w:right="210" w:firstLine="480"/>
              <w:textAlignment w:val="auto"/>
              <w:rPr>
                <w:rFonts w:ascii="仿宋" w:hAnsi="仿宋" w:eastAsia="仿宋" w:cstheme="minorBidi"/>
                <w:sz w:val="24"/>
              </w:rPr>
            </w:pPr>
            <w:r>
              <w:rPr>
                <w:rFonts w:hint="eastAsia" w:ascii="黑体" w:hAnsi="黑体" w:eastAsia="黑体" w:cstheme="minorBidi"/>
                <w:sz w:val="24"/>
              </w:rPr>
              <w:t>2</w:t>
            </w:r>
            <w:r>
              <w:rPr>
                <w:rFonts w:ascii="黑体" w:hAnsi="黑体" w:eastAsia="黑体" w:cstheme="minorBidi"/>
                <w:sz w:val="24"/>
              </w:rPr>
              <w:t>.现代农牧业产业园</w:t>
            </w:r>
            <w:r>
              <w:rPr>
                <w:rFonts w:hint="eastAsia" w:ascii="黑体" w:hAnsi="黑体" w:eastAsia="黑体" w:cstheme="minorBidi"/>
                <w:sz w:val="24"/>
              </w:rPr>
              <w:t>创建</w:t>
            </w:r>
            <w:r>
              <w:rPr>
                <w:rFonts w:hint="eastAsia" w:ascii="黑体" w:hAnsi="黑体" w:eastAsia="黑体" w:cstheme="minorBidi"/>
                <w:sz w:val="24"/>
                <w:lang w:eastAsia="zh-CN"/>
              </w:rPr>
              <w:t>。</w:t>
            </w:r>
            <w:r>
              <w:rPr>
                <w:rFonts w:ascii="仿宋" w:hAnsi="仿宋" w:eastAsia="仿宋" w:cstheme="minorBidi"/>
                <w:sz w:val="24"/>
              </w:rPr>
              <w:t>以旗县为</w:t>
            </w:r>
            <w:r>
              <w:rPr>
                <w:rFonts w:hint="eastAsia" w:ascii="仿宋" w:hAnsi="仿宋" w:eastAsia="仿宋" w:cstheme="minorBidi"/>
                <w:sz w:val="24"/>
                <w:lang w:eastAsia="zh-CN"/>
              </w:rPr>
              <w:t>单位</w:t>
            </w:r>
            <w:r>
              <w:rPr>
                <w:rFonts w:ascii="仿宋" w:hAnsi="仿宋" w:eastAsia="仿宋" w:cstheme="minorBidi"/>
                <w:sz w:val="24"/>
              </w:rPr>
              <w:t>，按照“主导产业特色优势明显、规划布局科学合理、建设水平区域领先、绿色发展成效突出、带动农牧民作用显著、政策支持措施有力和组织管理健全完善”</w:t>
            </w:r>
            <w:r>
              <w:rPr>
                <w:rFonts w:hint="eastAsia" w:ascii="仿宋" w:hAnsi="仿宋" w:eastAsia="仿宋" w:cstheme="minorBidi"/>
                <w:sz w:val="24"/>
                <w:lang w:eastAsia="zh-CN"/>
              </w:rPr>
              <w:t>等</w:t>
            </w:r>
            <w:r>
              <w:rPr>
                <w:rFonts w:ascii="仿宋" w:hAnsi="仿宋" w:eastAsia="仿宋" w:cstheme="minorBidi"/>
                <w:sz w:val="24"/>
              </w:rPr>
              <w:t>创建条件和要求，大力开展现代农牧业产业园创建工作，推动县域优势特色产业发展壮大。</w:t>
            </w:r>
          </w:p>
          <w:p w14:paraId="66A0B758">
            <w:pPr>
              <w:pStyle w:val="45"/>
              <w:keepNext w:val="0"/>
              <w:keepLines w:val="0"/>
              <w:pageBreakBefore w:val="0"/>
              <w:kinsoku/>
              <w:wordWrap/>
              <w:overflowPunct/>
              <w:topLinePunct w:val="0"/>
              <w:autoSpaceDE/>
              <w:autoSpaceDN/>
              <w:bidi w:val="0"/>
              <w:adjustRightInd/>
              <w:snapToGrid/>
              <w:spacing w:line="360" w:lineRule="exact"/>
              <w:ind w:left="210" w:right="210" w:firstLine="480"/>
              <w:textAlignment w:val="auto"/>
              <w:rPr>
                <w:rFonts w:ascii="仿宋" w:hAnsi="仿宋" w:eastAsia="仿宋" w:cstheme="minorBidi"/>
                <w:sz w:val="24"/>
              </w:rPr>
            </w:pPr>
            <w:r>
              <w:rPr>
                <w:rFonts w:hint="eastAsia" w:ascii="黑体" w:hAnsi="黑体" w:eastAsia="黑体" w:cstheme="minorBidi"/>
                <w:sz w:val="24"/>
              </w:rPr>
              <w:t>3</w:t>
            </w:r>
            <w:r>
              <w:rPr>
                <w:rFonts w:ascii="黑体" w:hAnsi="黑体" w:eastAsia="黑体" w:cstheme="minorBidi"/>
                <w:sz w:val="24"/>
              </w:rPr>
              <w:t>.</w:t>
            </w:r>
            <w:r>
              <w:rPr>
                <w:rFonts w:hint="eastAsia" w:ascii="黑体" w:hAnsi="黑体" w:eastAsia="黑体" w:cstheme="minorBidi"/>
                <w:sz w:val="24"/>
              </w:rPr>
              <w:t>产</w:t>
            </w:r>
            <w:r>
              <w:rPr>
                <w:rFonts w:ascii="黑体" w:hAnsi="黑体" w:eastAsia="黑体" w:cstheme="minorBidi"/>
                <w:sz w:val="24"/>
              </w:rPr>
              <w:t>业强镇</w:t>
            </w:r>
            <w:r>
              <w:rPr>
                <w:rFonts w:hint="eastAsia" w:ascii="黑体" w:hAnsi="黑体" w:eastAsia="黑体" w:cstheme="minorBidi"/>
                <w:sz w:val="24"/>
              </w:rPr>
              <w:t>建设</w:t>
            </w:r>
            <w:r>
              <w:rPr>
                <w:rFonts w:hint="eastAsia" w:ascii="黑体" w:hAnsi="黑体" w:eastAsia="黑体" w:cstheme="minorBidi"/>
                <w:sz w:val="24"/>
                <w:lang w:eastAsia="zh-CN"/>
              </w:rPr>
              <w:t>。</w:t>
            </w:r>
            <w:r>
              <w:rPr>
                <w:rFonts w:hint="eastAsia" w:ascii="仿宋" w:hAnsi="仿宋" w:eastAsia="仿宋" w:cstheme="minorBidi"/>
                <w:sz w:val="24"/>
                <w:lang w:eastAsia="zh-CN"/>
              </w:rPr>
              <w:t>以苏木乡镇为单位，</w:t>
            </w:r>
            <w:r>
              <w:rPr>
                <w:rFonts w:ascii="仿宋" w:hAnsi="仿宋" w:eastAsia="仿宋" w:cstheme="minorBidi"/>
                <w:sz w:val="24"/>
              </w:rPr>
              <w:t>着眼产业发展，聚焦培育龙头企业和产业化联合体，支持主导产业关键领域和薄弱环节发展，促进产业转型升级、由大变强，推动产城融合、产村融合发展，打造综合服务功能强、宜居宜业的农村牧区产业融合综合体。</w:t>
            </w:r>
          </w:p>
          <w:p w14:paraId="12EE32D7">
            <w:pPr>
              <w:pStyle w:val="45"/>
              <w:keepNext w:val="0"/>
              <w:keepLines w:val="0"/>
              <w:pageBreakBefore w:val="0"/>
              <w:kinsoku/>
              <w:wordWrap/>
              <w:overflowPunct/>
              <w:topLinePunct w:val="0"/>
              <w:autoSpaceDE/>
              <w:autoSpaceDN/>
              <w:bidi w:val="0"/>
              <w:adjustRightInd/>
              <w:snapToGrid/>
              <w:spacing w:line="360" w:lineRule="exact"/>
              <w:ind w:left="210" w:right="210" w:firstLine="355" w:firstLineChars="148"/>
              <w:textAlignment w:val="auto"/>
              <w:rPr>
                <w:rFonts w:ascii="仿宋" w:hAnsi="仿宋" w:eastAsia="仿宋" w:cstheme="minorBidi"/>
                <w:sz w:val="24"/>
              </w:rPr>
            </w:pPr>
            <w:r>
              <w:rPr>
                <w:rFonts w:ascii="黑体" w:hAnsi="黑体" w:eastAsia="黑体" w:cstheme="minorBidi"/>
                <w:sz w:val="24"/>
              </w:rPr>
              <w:t xml:space="preserve"> 4.农牧业现代化示范区建设</w:t>
            </w:r>
            <w:r>
              <w:rPr>
                <w:rFonts w:hint="eastAsia" w:ascii="黑体" w:hAnsi="黑体" w:eastAsia="黑体" w:cstheme="minorBidi"/>
                <w:sz w:val="24"/>
                <w:lang w:eastAsia="zh-CN"/>
              </w:rPr>
              <w:t>。</w:t>
            </w:r>
            <w:r>
              <w:rPr>
                <w:rFonts w:ascii="仿宋" w:hAnsi="仿宋" w:eastAsia="仿宋" w:cstheme="minorBidi"/>
                <w:sz w:val="24"/>
              </w:rPr>
              <w:t>加强资源整合、政策集成，改善物质装备技术条件，以旗县为创建单位，探索差异化、特色化的农牧业现代化发展模式。</w:t>
            </w:r>
          </w:p>
          <w:p w14:paraId="4C170F66">
            <w:pPr>
              <w:pStyle w:val="45"/>
              <w:keepNext w:val="0"/>
              <w:keepLines w:val="0"/>
              <w:pageBreakBefore w:val="0"/>
              <w:kinsoku/>
              <w:wordWrap/>
              <w:overflowPunct/>
              <w:topLinePunct w:val="0"/>
              <w:autoSpaceDE/>
              <w:autoSpaceDN/>
              <w:bidi w:val="0"/>
              <w:adjustRightInd/>
              <w:snapToGrid/>
              <w:spacing w:line="360" w:lineRule="exact"/>
              <w:ind w:left="210" w:right="210" w:firstLine="480"/>
              <w:textAlignment w:val="auto"/>
              <w:rPr>
                <w:rFonts w:ascii="仿宋" w:hAnsi="仿宋" w:eastAsia="仿宋" w:cstheme="minorBidi"/>
                <w:sz w:val="24"/>
              </w:rPr>
            </w:pPr>
            <w:r>
              <w:rPr>
                <w:rFonts w:ascii="黑体" w:hAnsi="黑体" w:eastAsia="黑体" w:cstheme="minorBidi"/>
                <w:sz w:val="24"/>
              </w:rPr>
              <w:t>5.“一村一品”示范村镇建设</w:t>
            </w:r>
            <w:r>
              <w:rPr>
                <w:rFonts w:hint="eastAsia" w:ascii="黑体" w:hAnsi="黑体" w:eastAsia="黑体" w:cstheme="minorBidi"/>
                <w:sz w:val="24"/>
                <w:lang w:eastAsia="zh-CN"/>
              </w:rPr>
              <w:t>。</w:t>
            </w:r>
            <w:r>
              <w:rPr>
                <w:rFonts w:ascii="仿宋" w:hAnsi="仿宋" w:eastAsia="仿宋" w:cstheme="minorBidi"/>
                <w:sz w:val="24"/>
              </w:rPr>
              <w:t>重点围绕主导产业、</w:t>
            </w:r>
            <w:r>
              <w:rPr>
                <w:rFonts w:hint="eastAsia" w:ascii="仿宋" w:hAnsi="仿宋" w:eastAsia="仿宋" w:cstheme="minorBidi"/>
                <w:sz w:val="24"/>
                <w:lang w:eastAsia="zh-CN"/>
              </w:rPr>
              <w:t>带动农牧户</w:t>
            </w:r>
            <w:r>
              <w:rPr>
                <w:rFonts w:ascii="仿宋" w:hAnsi="仿宋" w:eastAsia="仿宋" w:cstheme="minorBidi"/>
                <w:sz w:val="24"/>
              </w:rPr>
              <w:t>效果、品牌影响和组织化水平</w:t>
            </w:r>
            <w:r>
              <w:rPr>
                <w:rFonts w:hint="eastAsia" w:ascii="仿宋" w:hAnsi="仿宋" w:eastAsia="仿宋" w:cstheme="minorBidi"/>
                <w:sz w:val="24"/>
                <w:lang w:eastAsia="zh-CN"/>
              </w:rPr>
              <w:t>等</w:t>
            </w:r>
            <w:r>
              <w:rPr>
                <w:rFonts w:ascii="仿宋" w:hAnsi="仿宋" w:eastAsia="仿宋" w:cstheme="minorBidi"/>
                <w:sz w:val="24"/>
              </w:rPr>
              <w:t>方面，积极打造国家级</w:t>
            </w:r>
            <w:r>
              <w:rPr>
                <w:rFonts w:hint="eastAsia" w:ascii="仿宋" w:hAnsi="仿宋" w:eastAsia="仿宋" w:cstheme="minorBidi"/>
                <w:sz w:val="24"/>
                <w:lang w:eastAsia="zh-CN"/>
              </w:rPr>
              <w:t>和</w:t>
            </w:r>
            <w:r>
              <w:rPr>
                <w:rFonts w:ascii="仿宋" w:hAnsi="仿宋" w:eastAsia="仿宋" w:cstheme="minorBidi"/>
                <w:sz w:val="24"/>
              </w:rPr>
              <w:t>自治区级“一村一品”示范村镇，示范带动乡土特色产业发展。</w:t>
            </w:r>
          </w:p>
          <w:p w14:paraId="0C923098">
            <w:pPr>
              <w:pStyle w:val="45"/>
              <w:keepNext w:val="0"/>
              <w:keepLines w:val="0"/>
              <w:pageBreakBefore w:val="0"/>
              <w:kinsoku/>
              <w:wordWrap/>
              <w:overflowPunct/>
              <w:topLinePunct w:val="0"/>
              <w:autoSpaceDE/>
              <w:autoSpaceDN/>
              <w:bidi w:val="0"/>
              <w:adjustRightInd/>
              <w:snapToGrid/>
              <w:spacing w:line="360" w:lineRule="exact"/>
              <w:ind w:left="210" w:right="210" w:firstLine="480"/>
              <w:textAlignment w:val="auto"/>
              <w:rPr>
                <w:rFonts w:ascii="仿宋" w:hAnsi="仿宋" w:eastAsia="仿宋" w:cstheme="minorBidi"/>
                <w:sz w:val="24"/>
                <w:szCs w:val="24"/>
              </w:rPr>
            </w:pPr>
            <w:r>
              <w:rPr>
                <w:rFonts w:ascii="黑体" w:hAnsi="黑体" w:eastAsia="黑体" w:cstheme="minorBidi"/>
                <w:sz w:val="24"/>
              </w:rPr>
              <w:t>6.重点产业全产业链建设</w:t>
            </w:r>
            <w:r>
              <w:rPr>
                <w:rFonts w:hint="eastAsia" w:ascii="黑体" w:hAnsi="黑体" w:eastAsia="黑体" w:cstheme="minorBidi"/>
                <w:sz w:val="24"/>
                <w:lang w:eastAsia="zh-CN"/>
              </w:rPr>
              <w:t>。</w:t>
            </w:r>
            <w:r>
              <w:rPr>
                <w:rFonts w:ascii="仿宋" w:hAnsi="仿宋" w:eastAsia="仿宋" w:cstheme="minorBidi"/>
                <w:b/>
                <w:sz w:val="24"/>
                <w:szCs w:val="24"/>
              </w:rPr>
              <w:t>肉羊产业，</w:t>
            </w:r>
            <w:r>
              <w:rPr>
                <w:rFonts w:ascii="仿宋" w:hAnsi="仿宋" w:eastAsia="仿宋" w:cstheme="minorBidi"/>
                <w:sz w:val="24"/>
                <w:szCs w:val="24"/>
              </w:rPr>
              <w:t>依托“锡林郭勒羊”品牌优势，重点围绕养殖能力与加工能力匹配问题，分区域、分品种推进标准化规模养殖，适度发展肉羊</w:t>
            </w:r>
            <w:r>
              <w:rPr>
                <w:rFonts w:hint="eastAsia" w:ascii="仿宋" w:hAnsi="仿宋" w:eastAsia="仿宋" w:cstheme="minorBidi"/>
                <w:sz w:val="24"/>
                <w:szCs w:val="24"/>
                <w:lang w:eastAsia="zh-CN"/>
              </w:rPr>
              <w:t>谷饲育肥</w:t>
            </w:r>
            <w:r>
              <w:rPr>
                <w:rFonts w:ascii="仿宋" w:hAnsi="仿宋" w:eastAsia="仿宋" w:cstheme="minorBidi"/>
                <w:sz w:val="24"/>
                <w:szCs w:val="24"/>
              </w:rPr>
              <w:t>产业，推动肉羊全产业一体化发展。</w:t>
            </w:r>
            <w:r>
              <w:rPr>
                <w:rFonts w:ascii="仿宋" w:hAnsi="仿宋" w:eastAsia="仿宋" w:cstheme="minorBidi"/>
                <w:b/>
                <w:sz w:val="24"/>
                <w:szCs w:val="24"/>
              </w:rPr>
              <w:t>肉牛产业，</w:t>
            </w:r>
            <w:r>
              <w:rPr>
                <w:rFonts w:ascii="仿宋" w:hAnsi="仿宋" w:eastAsia="仿宋" w:cstheme="minorBidi"/>
                <w:sz w:val="24"/>
                <w:szCs w:val="24"/>
              </w:rPr>
              <w:t>聚焦育种、饲草供给、屠宰加工、养殖育肥、精深加工、品牌塑造等重点方面，持续加强政策扶持力度，</w:t>
            </w:r>
            <w:r>
              <w:rPr>
                <w:rFonts w:hint="eastAsia" w:ascii="仿宋" w:hAnsi="仿宋" w:eastAsia="仿宋" w:cstheme="minorBidi"/>
                <w:sz w:val="24"/>
                <w:szCs w:val="24"/>
                <w:lang w:eastAsia="zh-CN"/>
              </w:rPr>
              <w:t>推进“锡林郭勒牛”品牌建设，</w:t>
            </w:r>
            <w:r>
              <w:rPr>
                <w:rFonts w:ascii="仿宋" w:hAnsi="仿宋" w:eastAsia="仿宋" w:cstheme="minorBidi"/>
                <w:sz w:val="24"/>
                <w:szCs w:val="24"/>
              </w:rPr>
              <w:t>统筹布局打造优质良种肉牛全产业发展链条。</w:t>
            </w:r>
            <w:r>
              <w:rPr>
                <w:rFonts w:ascii="仿宋" w:hAnsi="仿宋" w:eastAsia="仿宋" w:cstheme="minorBidi"/>
                <w:b/>
                <w:sz w:val="24"/>
                <w:szCs w:val="24"/>
              </w:rPr>
              <w:t>奶产业，</w:t>
            </w:r>
            <w:r>
              <w:rPr>
                <w:rFonts w:ascii="仿宋" w:hAnsi="仿宋" w:eastAsia="仿宋" w:cstheme="minorBidi"/>
                <w:sz w:val="24"/>
                <w:szCs w:val="24"/>
              </w:rPr>
              <w:t>突出“锡林郭勒奶酪”品牌优势，提升优质饲草料供给保障能力，加强中小养殖场和民族奶制品加工坊改造升级，密切农企利益联结机制，在秉承传统生产加工技艺的基础上，向市场化、精细化、现代化和国际化等多元化方向发展，稳步提高民族传统奶制品全产业链发展效益。</w:t>
            </w:r>
            <w:r>
              <w:rPr>
                <w:rFonts w:ascii="仿宋" w:hAnsi="仿宋" w:eastAsia="仿宋" w:cstheme="minorBidi"/>
                <w:b/>
                <w:sz w:val="24"/>
                <w:szCs w:val="24"/>
              </w:rPr>
              <w:t>马铃薯产业，</w:t>
            </w:r>
            <w:r>
              <w:rPr>
                <w:rFonts w:ascii="仿宋" w:hAnsi="仿宋" w:eastAsia="仿宋" w:cstheme="minorBidi"/>
                <w:sz w:val="24"/>
                <w:szCs w:val="24"/>
              </w:rPr>
              <w:t>突出龙头企业引领带动，大力发展马铃薯标准化原料基地建设和精深加工，夯实马铃薯全产业链条发展基础。</w:t>
            </w:r>
          </w:p>
          <w:p w14:paraId="6D885255">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exact"/>
              <w:ind w:left="210" w:right="210" w:firstLine="480" w:firstLineChars="200"/>
              <w:jc w:val="both"/>
              <w:textAlignment w:val="auto"/>
              <w:rPr>
                <w:rFonts w:ascii="仿宋" w:hAnsi="仿宋" w:eastAsia="仿宋" w:cs="Times New Roman"/>
              </w:rPr>
            </w:pPr>
            <w:r>
              <w:rPr>
                <w:rFonts w:ascii="黑体" w:hAnsi="黑体" w:eastAsia="黑体" w:cs="黑体"/>
                <w:kern w:val="2"/>
              </w:rPr>
              <w:t>7.</w:t>
            </w:r>
            <w:r>
              <w:rPr>
                <w:rFonts w:hint="eastAsia" w:ascii="黑体" w:hAnsi="黑体" w:eastAsia="黑体" w:cs="黑体"/>
                <w:kern w:val="2"/>
              </w:rPr>
              <w:t>农畜产品加工提升</w:t>
            </w:r>
            <w:r>
              <w:rPr>
                <w:rFonts w:hint="eastAsia" w:ascii="黑体" w:hAnsi="黑体" w:eastAsia="黑体" w:cs="黑体"/>
                <w:kern w:val="2"/>
                <w:lang w:eastAsia="zh-CN"/>
              </w:rPr>
              <w:t>。</w:t>
            </w:r>
            <w:r>
              <w:rPr>
                <w:rFonts w:ascii="仿宋" w:hAnsi="仿宋" w:eastAsia="仿宋" w:cs="Times New Roman"/>
              </w:rPr>
              <w:t>加快推进农畜产品加工业发展，重点围绕加工转化率偏低和发展潜力较大的加工产业和地区，支持农畜产品加工龙头企业扩能改造、研发创新和精深加工，稳步提高农畜产品加工转化率和增值水平。</w:t>
            </w:r>
          </w:p>
          <w:p w14:paraId="78B5AF68">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exact"/>
              <w:ind w:left="210" w:right="210" w:firstLine="480" w:firstLineChars="200"/>
              <w:jc w:val="both"/>
              <w:textAlignment w:val="auto"/>
              <w:rPr>
                <w:rFonts w:ascii="仿宋" w:hAnsi="仿宋" w:eastAsia="仿宋" w:cs="Times New Roman"/>
              </w:rPr>
            </w:pPr>
            <w:r>
              <w:rPr>
                <w:rFonts w:hint="eastAsia" w:ascii="黑体" w:hAnsi="黑体" w:eastAsia="黑体" w:cs="黑体"/>
                <w:kern w:val="2"/>
              </w:rPr>
              <w:t>8</w:t>
            </w:r>
            <w:r>
              <w:rPr>
                <w:rFonts w:ascii="黑体" w:hAnsi="黑体" w:eastAsia="黑体" w:cs="黑体"/>
                <w:kern w:val="2"/>
              </w:rPr>
              <w:t>.</w:t>
            </w:r>
            <w:r>
              <w:rPr>
                <w:rFonts w:hint="eastAsia" w:ascii="黑体" w:hAnsi="黑体" w:eastAsia="黑体" w:cs="黑体"/>
                <w:kern w:val="2"/>
              </w:rPr>
              <w:t>农畜产品仓储保鲜冷链设施建设</w:t>
            </w:r>
            <w:r>
              <w:rPr>
                <w:rFonts w:hint="eastAsia" w:ascii="黑体" w:hAnsi="黑体" w:eastAsia="黑体" w:cs="黑体"/>
                <w:kern w:val="2"/>
                <w:lang w:eastAsia="zh-CN"/>
              </w:rPr>
              <w:t>。</w:t>
            </w:r>
            <w:r>
              <w:rPr>
                <w:rFonts w:hint="eastAsia" w:ascii="仿宋" w:hAnsi="仿宋" w:eastAsia="仿宋" w:cs="Times New Roman"/>
                <w:lang w:eastAsia="zh-CN"/>
              </w:rPr>
              <w:t>重点在</w:t>
            </w:r>
            <w:r>
              <w:rPr>
                <w:rFonts w:ascii="仿宋" w:hAnsi="仿宋" w:eastAsia="仿宋" w:cs="Times New Roman"/>
              </w:rPr>
              <w:t>特色农畜产品优势区和鲜活农畜产品主产区，</w:t>
            </w:r>
            <w:r>
              <w:rPr>
                <w:rFonts w:hint="eastAsia" w:ascii="仿宋" w:hAnsi="仿宋" w:eastAsia="仿宋" w:cs="Times New Roman"/>
              </w:rPr>
              <w:t>支持家庭农牧场、农牧民合作社等新型经营主体结合实际需要，建设产地小型冷藏保鲜设施，</w:t>
            </w:r>
            <w:r>
              <w:rPr>
                <w:rFonts w:ascii="仿宋" w:hAnsi="仿宋" w:eastAsia="仿宋" w:cs="Times New Roman"/>
              </w:rPr>
              <w:t>提升农畜产品仓储保鲜能力和冷链流通率，减少产后损失，保障产品质量。</w:t>
            </w:r>
          </w:p>
          <w:p w14:paraId="5CC6AF88">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exact"/>
              <w:ind w:left="210" w:right="210" w:firstLine="480" w:firstLineChars="200"/>
              <w:jc w:val="both"/>
              <w:textAlignment w:val="auto"/>
              <w:rPr>
                <w:rFonts w:ascii="仿宋" w:hAnsi="仿宋" w:eastAsia="仿宋" w:cs="Times New Roman"/>
              </w:rPr>
            </w:pPr>
            <w:r>
              <w:rPr>
                <w:rFonts w:ascii="黑体" w:hAnsi="黑体" w:eastAsia="黑体" w:cs="黑体"/>
                <w:kern w:val="2"/>
              </w:rPr>
              <w:t>9.</w:t>
            </w:r>
            <w:r>
              <w:rPr>
                <w:rFonts w:hint="eastAsia" w:ascii="黑体" w:hAnsi="黑体" w:eastAsia="黑体" w:cs="黑体"/>
                <w:kern w:val="2"/>
              </w:rPr>
              <w:t>农村牧区休闲旅游</w:t>
            </w:r>
            <w:r>
              <w:rPr>
                <w:rFonts w:hint="eastAsia" w:ascii="黑体" w:hAnsi="黑体" w:eastAsia="黑体" w:cs="黑体"/>
                <w:kern w:val="2"/>
                <w:lang w:eastAsia="zh-CN"/>
              </w:rPr>
              <w:t>。</w:t>
            </w:r>
            <w:r>
              <w:rPr>
                <w:rFonts w:ascii="仿宋" w:hAnsi="仿宋" w:eastAsia="仿宋" w:cs="Times New Roman"/>
              </w:rPr>
              <w:t>按照“核心突破、多点提升、配套发展、全域旅游”思路，以资源组合、景区联合、线路整合、产业聚合为牵引，建设高品质旅游线路和景区、度假区，拓展自驾探险游、冰雪体验游、健康养生游、摄影采风游、边境跨境游等旅游形态，着力构建全域、全季、全业态的农村牧区休闲旅游发展新格局。</w:t>
            </w:r>
          </w:p>
          <w:p w14:paraId="55652900">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exact"/>
              <w:ind w:left="210" w:right="210" w:firstLine="480" w:firstLineChars="200"/>
              <w:jc w:val="both"/>
              <w:textAlignment w:val="auto"/>
              <w:rPr>
                <w:rFonts w:ascii="仿宋" w:hAnsi="仿宋" w:eastAsia="仿宋" w:cs="仿宋"/>
                <w:color w:val="000000" w:themeColor="text1"/>
                <w:kern w:val="2"/>
              </w:rPr>
            </w:pPr>
            <w:r>
              <w:rPr>
                <w:rFonts w:hint="eastAsia" w:ascii="黑体" w:hAnsi="黑体" w:eastAsia="黑体" w:cs="黑体"/>
                <w:kern w:val="2"/>
              </w:rPr>
              <w:t>1</w:t>
            </w:r>
            <w:r>
              <w:rPr>
                <w:rFonts w:ascii="黑体" w:hAnsi="黑体" w:eastAsia="黑体" w:cs="黑体"/>
                <w:kern w:val="2"/>
              </w:rPr>
              <w:t>0.</w:t>
            </w:r>
            <w:r>
              <w:rPr>
                <w:rFonts w:hint="eastAsia" w:ascii="黑体" w:hAnsi="黑体" w:eastAsia="黑体" w:cs="黑体"/>
                <w:kern w:val="2"/>
              </w:rPr>
              <w:t>现代农牧业经营主体培育</w:t>
            </w:r>
            <w:r>
              <w:rPr>
                <w:rFonts w:hint="eastAsia" w:ascii="黑体" w:hAnsi="黑体" w:eastAsia="黑体" w:cs="黑体"/>
                <w:kern w:val="2"/>
                <w:lang w:eastAsia="zh-CN"/>
              </w:rPr>
              <w:t>。</w:t>
            </w:r>
            <w:r>
              <w:rPr>
                <w:rFonts w:ascii="仿宋" w:hAnsi="仿宋" w:eastAsia="仿宋" w:cs="仿宋"/>
                <w:color w:val="000000" w:themeColor="text1"/>
                <w:kern w:val="2"/>
              </w:rPr>
              <w:t>落实各级扶持政策，大力培育新型农牧业经营主体，全面促进农牧户和现代农牧业发展有机衔接。到2025年，全盟农企利益联结机制比例达到88%，紧密型比例达到60%以上。</w:t>
            </w:r>
          </w:p>
          <w:p w14:paraId="07E5D995">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exact"/>
              <w:ind w:left="210" w:right="210" w:firstLine="480" w:firstLineChars="200"/>
              <w:jc w:val="both"/>
              <w:textAlignment w:val="auto"/>
            </w:pPr>
            <w:r>
              <w:rPr>
                <w:rFonts w:hint="eastAsia" w:ascii="黑体" w:hAnsi="黑体" w:eastAsia="黑体" w:cs="黑体"/>
                <w:kern w:val="2"/>
                <w:lang w:val="en-US" w:eastAsia="zh-CN"/>
              </w:rPr>
              <w:t>11</w:t>
            </w:r>
            <w:r>
              <w:rPr>
                <w:rFonts w:ascii="黑体" w:hAnsi="黑体" w:eastAsia="黑体" w:cs="黑体"/>
                <w:kern w:val="2"/>
              </w:rPr>
              <w:t>.</w:t>
            </w:r>
            <w:r>
              <w:rPr>
                <w:rFonts w:hint="eastAsia" w:ascii="黑体" w:hAnsi="黑体" w:eastAsia="黑体" w:cs="黑体"/>
                <w:kern w:val="2"/>
              </w:rPr>
              <w:t>产业化联合体培育</w:t>
            </w:r>
            <w:r>
              <w:rPr>
                <w:rFonts w:hint="eastAsia" w:ascii="黑体" w:hAnsi="黑体" w:eastAsia="黑体" w:cs="黑体"/>
                <w:kern w:val="2"/>
                <w:lang w:eastAsia="zh-CN"/>
              </w:rPr>
              <w:t>。</w:t>
            </w:r>
            <w:r>
              <w:rPr>
                <w:rFonts w:hint="eastAsia" w:ascii="仿宋" w:hAnsi="仿宋" w:eastAsia="仿宋" w:cs="仿宋"/>
                <w:lang w:eastAsia="zh-CN"/>
              </w:rPr>
              <w:t>加强</w:t>
            </w:r>
            <w:r>
              <w:rPr>
                <w:rFonts w:ascii="仿宋" w:hAnsi="仿宋" w:eastAsia="仿宋" w:cs="仿宋"/>
              </w:rPr>
              <w:t>农牧业产业化联合体培育工作，稳步实现联合体</w:t>
            </w:r>
            <w:r>
              <w:rPr>
                <w:rFonts w:hint="eastAsia" w:ascii="仿宋" w:hAnsi="仿宋" w:eastAsia="仿宋" w:cs="仿宋"/>
                <w:lang w:eastAsia="zh-CN"/>
              </w:rPr>
              <w:t>中</w:t>
            </w:r>
            <w:r>
              <w:rPr>
                <w:rFonts w:ascii="仿宋" w:hAnsi="仿宋" w:eastAsia="仿宋" w:cs="仿宋"/>
              </w:rPr>
              <w:t>各类经营主体联结紧密、分工明确、链条完整、优势互补、利益共享的目标，引领全盟农牧业产业化发展。</w:t>
            </w:r>
          </w:p>
        </w:tc>
      </w:tr>
    </w:tbl>
    <w:p w14:paraId="53600048">
      <w:pPr>
        <w:pStyle w:val="3"/>
        <w:snapToGrid w:val="0"/>
        <w:spacing w:before="312" w:beforeLines="100" w:after="312" w:afterLines="100" w:line="540" w:lineRule="exact"/>
        <w:jc w:val="center"/>
        <w:rPr>
          <w:rFonts w:hint="eastAsia" w:ascii="方正小标宋简体" w:hAnsi="仿宋" w:eastAsia="方正小标宋简体" w:cs="黑体"/>
          <w:b w:val="0"/>
          <w:color w:val="000000" w:themeColor="text1"/>
          <w:sz w:val="32"/>
          <w:szCs w:val="32"/>
        </w:rPr>
      </w:pPr>
      <w:bookmarkStart w:id="285" w:name="_Toc15408"/>
      <w:bookmarkStart w:id="286" w:name="_Toc28501"/>
      <w:bookmarkStart w:id="287" w:name="_Toc26177"/>
      <w:bookmarkStart w:id="288" w:name="_Toc21767"/>
    </w:p>
    <w:p w14:paraId="1C8291E4">
      <w:pPr>
        <w:pStyle w:val="3"/>
        <w:snapToGrid w:val="0"/>
        <w:spacing w:before="312" w:beforeLines="100" w:after="312" w:afterLines="100" w:line="540" w:lineRule="exact"/>
        <w:jc w:val="center"/>
        <w:rPr>
          <w:rFonts w:ascii="方正小标宋简体" w:hAnsi="仿宋" w:eastAsia="方正小标宋简体" w:cs="黑体"/>
          <w:b w:val="0"/>
          <w:color w:val="000000" w:themeColor="text1"/>
          <w:sz w:val="44"/>
          <w:szCs w:val="44"/>
        </w:rPr>
      </w:pPr>
      <w:bookmarkStart w:id="289" w:name="_Toc513815349_WPSOffice_Level1"/>
      <w:r>
        <w:rPr>
          <w:rFonts w:hint="eastAsia" w:ascii="方正小标宋简体" w:hAnsi="仿宋" w:eastAsia="方正小标宋简体" w:cs="黑体"/>
          <w:b w:val="0"/>
          <w:color w:val="000000" w:themeColor="text1"/>
          <w:sz w:val="44"/>
          <w:szCs w:val="44"/>
        </w:rPr>
        <w:t xml:space="preserve">第五章 </w:t>
      </w:r>
      <w:bookmarkEnd w:id="284"/>
      <w:r>
        <w:rPr>
          <w:rFonts w:hint="eastAsia" w:ascii="方正小标宋简体" w:hAnsi="仿宋" w:eastAsia="方正小标宋简体" w:cs="黑体"/>
          <w:b w:val="0"/>
          <w:color w:val="000000" w:themeColor="text1"/>
          <w:sz w:val="44"/>
          <w:szCs w:val="44"/>
        </w:rPr>
        <w:t>科学统筹发展和安全</w:t>
      </w:r>
      <w:bookmarkEnd w:id="285"/>
      <w:bookmarkEnd w:id="286"/>
      <w:bookmarkEnd w:id="287"/>
      <w:bookmarkEnd w:id="288"/>
      <w:bookmarkEnd w:id="289"/>
    </w:p>
    <w:p w14:paraId="19338BD6">
      <w:pPr>
        <w:pageBreakBefore w:val="0"/>
        <w:widowControl w:val="0"/>
        <w:numPr>
          <w:ilvl w:val="255"/>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stheme="minorBidi"/>
          <w:sz w:val="32"/>
          <w:szCs w:val="32"/>
        </w:rPr>
      </w:pPr>
      <w:r>
        <w:rPr>
          <w:rFonts w:hint="eastAsia" w:ascii="仿宋" w:hAnsi="仿宋" w:eastAsia="仿宋" w:cstheme="minorBidi"/>
          <w:sz w:val="32"/>
          <w:szCs w:val="32"/>
        </w:rPr>
        <w:t>统筹好发展与安全两件大事，重点构建粮食生产、种业</w:t>
      </w:r>
      <w:r>
        <w:rPr>
          <w:rFonts w:hint="eastAsia" w:ascii="仿宋" w:hAnsi="仿宋" w:eastAsia="仿宋" w:cstheme="minorBidi"/>
          <w:sz w:val="32"/>
          <w:szCs w:val="32"/>
          <w:lang w:eastAsia="zh-CN"/>
        </w:rPr>
        <w:t>振兴</w:t>
      </w:r>
      <w:r>
        <w:rPr>
          <w:rFonts w:hint="eastAsia" w:ascii="仿宋" w:hAnsi="仿宋" w:eastAsia="仿宋" w:cstheme="minorBidi"/>
          <w:sz w:val="32"/>
          <w:szCs w:val="32"/>
        </w:rPr>
        <w:t>、科技支撑、人才建设、质量保障、动物疫病和植物病虫害防控等农牧业发展综合保障体系，</w:t>
      </w:r>
      <w:r>
        <w:rPr>
          <w:rFonts w:ascii="仿宋" w:hAnsi="仿宋" w:eastAsia="仿宋" w:cstheme="minorBidi"/>
          <w:sz w:val="32"/>
          <w:szCs w:val="32"/>
        </w:rPr>
        <w:t>有效防范化解各类风险挑战，</w:t>
      </w:r>
      <w:r>
        <w:rPr>
          <w:rFonts w:hint="eastAsia" w:ascii="仿宋" w:hAnsi="仿宋" w:eastAsia="仿宋" w:cstheme="minorBidi"/>
          <w:sz w:val="32"/>
          <w:szCs w:val="32"/>
          <w:lang w:eastAsia="zh-CN"/>
        </w:rPr>
        <w:t>稳步</w:t>
      </w:r>
      <w:r>
        <w:rPr>
          <w:rFonts w:hint="eastAsia" w:ascii="仿宋" w:hAnsi="仿宋" w:eastAsia="仿宋" w:cstheme="minorBidi"/>
          <w:sz w:val="32"/>
          <w:szCs w:val="32"/>
        </w:rPr>
        <w:t>推动农牧业与农村牧区</w:t>
      </w:r>
      <w:r>
        <w:rPr>
          <w:rFonts w:ascii="仿宋" w:hAnsi="仿宋" w:eastAsia="仿宋" w:cstheme="minorBidi"/>
          <w:sz w:val="32"/>
          <w:szCs w:val="32"/>
        </w:rPr>
        <w:t>现代化</w:t>
      </w:r>
      <w:r>
        <w:rPr>
          <w:rFonts w:hint="eastAsia" w:ascii="仿宋" w:hAnsi="仿宋" w:eastAsia="仿宋" w:cstheme="minorBidi"/>
          <w:sz w:val="32"/>
          <w:szCs w:val="32"/>
        </w:rPr>
        <w:t>事业融入新发展格局</w:t>
      </w:r>
      <w:r>
        <w:rPr>
          <w:rFonts w:ascii="仿宋" w:hAnsi="仿宋" w:eastAsia="仿宋" w:cstheme="minorBidi"/>
          <w:sz w:val="32"/>
          <w:szCs w:val="32"/>
        </w:rPr>
        <w:t>。</w:t>
      </w:r>
    </w:p>
    <w:p w14:paraId="13527DF6">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2"/>
        </w:rPr>
      </w:pPr>
      <w:bookmarkStart w:id="290" w:name="_Toc22768"/>
      <w:bookmarkStart w:id="291" w:name="_Toc19880"/>
      <w:bookmarkStart w:id="292" w:name="_Toc16926"/>
      <w:bookmarkStart w:id="293" w:name="_Toc1129464945_WPSOffice_Level2"/>
      <w:bookmarkStart w:id="294" w:name="_Toc18064"/>
      <w:r>
        <w:rPr>
          <w:rFonts w:hint="eastAsia" w:ascii="Calibri Light" w:hAnsi="Calibri Light" w:cs="Times New Roman"/>
          <w:b w:val="0"/>
          <w:bCs w:val="0"/>
          <w:sz w:val="32"/>
          <w:szCs w:val="32"/>
        </w:rPr>
        <w:t>第一节 提高粮食安全保障能力</w:t>
      </w:r>
      <w:bookmarkEnd w:id="290"/>
      <w:bookmarkEnd w:id="291"/>
      <w:bookmarkEnd w:id="292"/>
      <w:bookmarkEnd w:id="293"/>
      <w:bookmarkEnd w:id="294"/>
    </w:p>
    <w:p w14:paraId="431938FA">
      <w:pPr>
        <w:pStyle w:val="2"/>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稳定粮食播种面积和产量。</w:t>
      </w:r>
      <w:r>
        <w:rPr>
          <w:rFonts w:hint="eastAsia" w:ascii="仿宋" w:hAnsi="仿宋" w:eastAsia="仿宋" w:cs="仿宋"/>
          <w:sz w:val="32"/>
          <w:szCs w:val="32"/>
        </w:rPr>
        <w:t>党政同责扛起保障粮食安全的政治责任，夯实“藏粮于地、藏粮于技”物质基础，严格落实粮食安全分级责任制和“菜篮子”盟</w:t>
      </w:r>
      <w:r>
        <w:rPr>
          <w:rFonts w:hint="eastAsia" w:ascii="仿宋" w:hAnsi="仿宋" w:eastAsia="仿宋" w:cs="仿宋"/>
          <w:sz w:val="32"/>
          <w:szCs w:val="32"/>
          <w:lang w:eastAsia="zh-CN"/>
        </w:rPr>
        <w:t>（市）</w:t>
      </w:r>
      <w:r>
        <w:rPr>
          <w:rFonts w:hint="eastAsia" w:ascii="仿宋" w:hAnsi="仿宋" w:eastAsia="仿宋" w:cs="仿宋"/>
          <w:sz w:val="32"/>
          <w:szCs w:val="32"/>
        </w:rPr>
        <w:t>长负责制，落实种粮补贴政策，</w:t>
      </w:r>
      <w:r>
        <w:rPr>
          <w:rFonts w:hint="eastAsia" w:ascii="仿宋" w:hAnsi="仿宋" w:eastAsia="仿宋" w:cs="仿宋"/>
          <w:sz w:val="32"/>
          <w:szCs w:val="32"/>
          <w:lang w:eastAsia="zh-CN"/>
        </w:rPr>
        <w:t>实施</w:t>
      </w:r>
      <w:r>
        <w:rPr>
          <w:rFonts w:hint="eastAsia" w:ascii="仿宋" w:hAnsi="仿宋" w:eastAsia="仿宋" w:cs="仿宋"/>
          <w:sz w:val="32"/>
          <w:szCs w:val="32"/>
        </w:rPr>
        <w:t>高效增粮示范行动</w:t>
      </w:r>
      <w:r>
        <w:rPr>
          <w:rFonts w:hint="eastAsia" w:ascii="仿宋" w:hAnsi="仿宋" w:eastAsia="仿宋" w:cs="仿宋"/>
          <w:sz w:val="32"/>
          <w:szCs w:val="32"/>
          <w:lang w:eastAsia="zh-CN"/>
        </w:rPr>
        <w:t>，切实</w:t>
      </w:r>
      <w:r>
        <w:rPr>
          <w:rFonts w:hint="eastAsia" w:ascii="仿宋" w:hAnsi="仿宋" w:eastAsia="仿宋" w:cs="仿宋"/>
          <w:sz w:val="32"/>
          <w:szCs w:val="32"/>
        </w:rPr>
        <w:t>稳定粮食播种面积和产量。推广增施有机肥、秸秆还田和种植绿肥等技术措施，推进耕地轮作常态化，提高耕地质量和粮食产能。加强粮食生产功能区管护，突出政策项目导向，充分调动和保护重农抓粮、务农种粮积极性，有</w:t>
      </w:r>
      <w:r>
        <w:rPr>
          <w:rFonts w:hint="eastAsia" w:ascii="仿宋" w:hAnsi="仿宋" w:eastAsia="仿宋" w:cs="仿宋"/>
          <w:sz w:val="32"/>
          <w:szCs w:val="32"/>
          <w:lang w:eastAsia="zh-CN"/>
        </w:rPr>
        <w:t>力</w:t>
      </w:r>
      <w:r>
        <w:rPr>
          <w:rFonts w:hint="eastAsia" w:ascii="仿宋" w:hAnsi="仿宋" w:eastAsia="仿宋" w:cs="仿宋"/>
          <w:sz w:val="32"/>
          <w:szCs w:val="32"/>
        </w:rPr>
        <w:t>保障粮食</w:t>
      </w:r>
      <w:r>
        <w:rPr>
          <w:rFonts w:hint="eastAsia" w:ascii="仿宋" w:hAnsi="仿宋" w:eastAsia="仿宋" w:cs="仿宋"/>
          <w:sz w:val="32"/>
          <w:szCs w:val="32"/>
          <w:lang w:eastAsia="zh-CN"/>
        </w:rPr>
        <w:t>等</w:t>
      </w:r>
      <w:r>
        <w:rPr>
          <w:rFonts w:hint="eastAsia" w:ascii="仿宋" w:hAnsi="仿宋" w:eastAsia="仿宋" w:cs="仿宋"/>
          <w:sz w:val="32"/>
          <w:szCs w:val="32"/>
        </w:rPr>
        <w:t>重要农副产品供给。到2025年，全盟粮食播种面积达到230万亩，产量达到50万吨。</w:t>
      </w:r>
    </w:p>
    <w:p w14:paraId="44190432">
      <w:pPr>
        <w:pStyle w:val="2"/>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坚决守住耕地红线。</w:t>
      </w:r>
      <w:r>
        <w:rPr>
          <w:rFonts w:hint="eastAsia" w:ascii="仿宋" w:hAnsi="仿宋" w:eastAsia="仿宋" w:cs="仿宋"/>
          <w:sz w:val="32"/>
          <w:szCs w:val="32"/>
        </w:rPr>
        <w:t>落实最严格的耕地保护和节约用地制度，加强占用耕地占补平衡管理，坚决守住耕地保有量、永久基本农田保护面积和粮食生产功能区三项指标。落实最严格的耕地保护和节约用地制度，严格实行土地用途管制，稳定永久基本农田面积，严禁违规占用耕地和违背自然规律绿化造林、挖湖造景</w:t>
      </w:r>
      <w:r>
        <w:rPr>
          <w:rFonts w:hint="eastAsia" w:ascii="仿宋" w:hAnsi="仿宋" w:eastAsia="仿宋" w:cs="仿宋"/>
          <w:sz w:val="32"/>
          <w:szCs w:val="32"/>
          <w:lang w:eastAsia="zh-CN"/>
        </w:rPr>
        <w:t>等</w:t>
      </w:r>
      <w:r>
        <w:rPr>
          <w:rFonts w:hint="eastAsia" w:ascii="仿宋" w:hAnsi="仿宋" w:eastAsia="仿宋" w:cs="仿宋"/>
          <w:sz w:val="32"/>
          <w:szCs w:val="32"/>
        </w:rPr>
        <w:t>，严格控制非农建设占用耕地。明确耕地利用优先序，永久基本农田重点用于粮食生产，一般耕地主要用于粮食、油、糖、蔬菜等农产品及饲草</w:t>
      </w:r>
      <w:r>
        <w:rPr>
          <w:rFonts w:hint="eastAsia" w:ascii="仿宋" w:hAnsi="仿宋" w:eastAsia="仿宋" w:cs="仿宋"/>
          <w:sz w:val="32"/>
          <w:szCs w:val="32"/>
          <w:lang w:eastAsia="zh-CN"/>
        </w:rPr>
        <w:t>料</w:t>
      </w:r>
      <w:r>
        <w:rPr>
          <w:rFonts w:hint="eastAsia" w:ascii="仿宋" w:hAnsi="仿宋" w:eastAsia="仿宋" w:cs="仿宋"/>
          <w:sz w:val="32"/>
          <w:szCs w:val="32"/>
        </w:rPr>
        <w:t>生产。明确耕地和永久基本农田不同的管制目标和管制强度，强化土地流转用途监管</w:t>
      </w:r>
      <w:r>
        <w:rPr>
          <w:rFonts w:hint="eastAsia" w:ascii="仿宋" w:hAnsi="仿宋" w:eastAsia="仿宋" w:cs="仿宋"/>
          <w:sz w:val="32"/>
          <w:szCs w:val="32"/>
          <w:lang w:eastAsia="zh-CN"/>
        </w:rPr>
        <w:t>和</w:t>
      </w:r>
      <w:r>
        <w:rPr>
          <w:rFonts w:hint="eastAsia" w:ascii="仿宋" w:hAnsi="仿宋" w:eastAsia="仿宋" w:cs="仿宋"/>
          <w:sz w:val="32"/>
          <w:szCs w:val="32"/>
        </w:rPr>
        <w:t xml:space="preserve">耕地种粮情况监测评价，坚决遏制耕地“非农化”、严格管控“非粮化”，统筹利用撂荒地发展农牧业生产。  </w:t>
      </w:r>
    </w:p>
    <w:p w14:paraId="02C6DFA7">
      <w:pPr>
        <w:pageBreakBefore w:val="0"/>
        <w:widowControl w:val="0"/>
        <w:kinsoku/>
        <w:wordWrap/>
        <w:overflowPunct/>
        <w:topLinePunct w:val="0"/>
        <w:autoSpaceDE/>
        <w:autoSpaceDN/>
        <w:bidi w:val="0"/>
        <w:adjustRightInd/>
        <w:snapToGrid/>
        <w:spacing w:after="156" w:afterLines="50"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推进高标准农田建设。</w:t>
      </w:r>
      <w:r>
        <w:rPr>
          <w:rFonts w:hint="eastAsia" w:ascii="仿宋" w:hAnsi="仿宋" w:eastAsia="仿宋" w:cs="仿宋"/>
          <w:sz w:val="32"/>
          <w:szCs w:val="32"/>
        </w:rPr>
        <w:t>实施以“节水”为中心的高标准农田建设，按照“填平补齐、扬长避短”的原则，采取土地平整、土壤改良、灌溉排水、田间道路、农田防护与生态环境保持、农田输配电、科技服务和建后管护等综合配套措施，夯实生态高效农业可持续发展基础。到2025年，</w:t>
      </w:r>
      <w:r>
        <w:rPr>
          <w:rFonts w:hint="eastAsia" w:ascii="仿宋" w:hAnsi="仿宋" w:eastAsia="仿宋" w:cs="仿宋"/>
          <w:sz w:val="32"/>
          <w:szCs w:val="32"/>
          <w:lang w:eastAsia="zh-CN"/>
        </w:rPr>
        <w:t>力争</w:t>
      </w:r>
      <w:r>
        <w:rPr>
          <w:rFonts w:hint="eastAsia" w:ascii="仿宋" w:hAnsi="仿宋" w:eastAsia="仿宋" w:cs="仿宋"/>
          <w:sz w:val="32"/>
          <w:szCs w:val="32"/>
        </w:rPr>
        <w:t>新建高标准农田</w:t>
      </w:r>
      <w:r>
        <w:rPr>
          <w:rFonts w:hint="eastAsia" w:ascii="仿宋" w:hAnsi="仿宋" w:eastAsia="仿宋" w:cs="仿宋"/>
          <w:sz w:val="32"/>
          <w:szCs w:val="32"/>
          <w:lang w:val="en-US" w:eastAsia="zh-CN"/>
        </w:rPr>
        <w:t>22</w:t>
      </w:r>
      <w:r>
        <w:rPr>
          <w:rFonts w:hint="eastAsia" w:ascii="仿宋" w:hAnsi="仿宋" w:eastAsia="仿宋" w:cs="仿宋"/>
          <w:sz w:val="32"/>
          <w:szCs w:val="32"/>
        </w:rPr>
        <w:t>万亩。</w:t>
      </w:r>
    </w:p>
    <w:p w14:paraId="5A0F7362">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hint="eastAsia" w:ascii="Calibri Light" w:hAnsi="Calibri Light" w:eastAsia="黑体" w:cs="Times New Roman"/>
          <w:b w:val="0"/>
          <w:bCs w:val="0"/>
          <w:sz w:val="32"/>
          <w:szCs w:val="32"/>
          <w:lang w:eastAsia="zh-CN"/>
        </w:rPr>
      </w:pPr>
      <w:bookmarkStart w:id="295" w:name="_Toc19612"/>
      <w:bookmarkStart w:id="296" w:name="_Toc25348"/>
      <w:bookmarkStart w:id="297" w:name="_Toc7343"/>
      <w:bookmarkStart w:id="298" w:name="_Toc21679"/>
      <w:bookmarkStart w:id="299" w:name="_Toc150721879_WPSOffice_Level2"/>
      <w:bookmarkStart w:id="300" w:name="_Toc59000572"/>
      <w:bookmarkStart w:id="301" w:name="_Toc60561669"/>
      <w:bookmarkStart w:id="302" w:name="_Toc8596"/>
      <w:bookmarkStart w:id="303" w:name="_Toc58870199"/>
      <w:r>
        <w:rPr>
          <w:rFonts w:hint="eastAsia" w:ascii="Calibri Light" w:hAnsi="Calibri Light" w:cs="Times New Roman"/>
          <w:b w:val="0"/>
          <w:bCs w:val="0"/>
          <w:sz w:val="32"/>
          <w:szCs w:val="32"/>
        </w:rPr>
        <w:t xml:space="preserve">第二节 </w:t>
      </w:r>
      <w:bookmarkEnd w:id="295"/>
      <w:bookmarkEnd w:id="296"/>
      <w:bookmarkEnd w:id="297"/>
      <w:bookmarkEnd w:id="298"/>
      <w:r>
        <w:rPr>
          <w:rFonts w:hint="eastAsia" w:ascii="Calibri Light" w:hAnsi="Calibri Light" w:cs="Times New Roman"/>
          <w:b w:val="0"/>
          <w:bCs w:val="0"/>
          <w:sz w:val="32"/>
          <w:szCs w:val="32"/>
          <w:lang w:eastAsia="zh-CN"/>
        </w:rPr>
        <w:t>实施种业振兴行动</w:t>
      </w:r>
      <w:bookmarkEnd w:id="299"/>
    </w:p>
    <w:p w14:paraId="1805D264">
      <w:pPr>
        <w:pageBreakBefore w:val="0"/>
        <w:widowControl w:val="0"/>
        <w:numPr>
          <w:ilvl w:val="255"/>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加强种质资源保护利用。</w:t>
      </w:r>
      <w:r>
        <w:rPr>
          <w:rFonts w:hint="eastAsia" w:ascii="仿宋" w:hAnsi="仿宋" w:eastAsia="仿宋" w:cs="仿宋"/>
          <w:sz w:val="32"/>
          <w:szCs w:val="32"/>
        </w:rPr>
        <w:t>全面开展农牧业种质资源普查与收集，对全盟农作物</w:t>
      </w:r>
      <w:r>
        <w:rPr>
          <w:rFonts w:hint="eastAsia" w:ascii="仿宋" w:hAnsi="仿宋" w:eastAsia="仿宋" w:cs="仿宋"/>
          <w:sz w:val="32"/>
          <w:szCs w:val="32"/>
          <w:lang w:eastAsia="zh-CN"/>
        </w:rPr>
        <w:t>、</w:t>
      </w:r>
      <w:r>
        <w:rPr>
          <w:rFonts w:hint="eastAsia" w:ascii="仿宋" w:hAnsi="仿宋" w:eastAsia="仿宋" w:cs="仿宋"/>
          <w:sz w:val="32"/>
          <w:szCs w:val="32"/>
        </w:rPr>
        <w:t>畜禽</w:t>
      </w:r>
      <w:r>
        <w:rPr>
          <w:rFonts w:hint="eastAsia" w:ascii="仿宋" w:hAnsi="仿宋" w:eastAsia="仿宋" w:cs="仿宋"/>
          <w:sz w:val="32"/>
          <w:szCs w:val="32"/>
          <w:lang w:eastAsia="zh-CN"/>
        </w:rPr>
        <w:t>和</w:t>
      </w:r>
      <w:r>
        <w:rPr>
          <w:rFonts w:hint="eastAsia" w:ascii="仿宋" w:hAnsi="仿宋" w:eastAsia="仿宋" w:cs="仿宋"/>
          <w:sz w:val="32"/>
          <w:szCs w:val="32"/>
        </w:rPr>
        <w:t>牧草种质资源开展系统性</w:t>
      </w:r>
      <w:r>
        <w:rPr>
          <w:rFonts w:hint="eastAsia" w:ascii="仿宋" w:hAnsi="仿宋" w:eastAsia="仿宋" w:cs="仿宋"/>
          <w:sz w:val="32"/>
          <w:szCs w:val="32"/>
          <w:lang w:eastAsia="zh-CN"/>
        </w:rPr>
        <w:t>普查</w:t>
      </w:r>
      <w:r>
        <w:rPr>
          <w:rFonts w:hint="eastAsia" w:ascii="仿宋" w:hAnsi="仿宋" w:eastAsia="仿宋" w:cs="仿宋"/>
          <w:sz w:val="32"/>
          <w:szCs w:val="32"/>
        </w:rPr>
        <w:t>收集，开展良种登记、生产性能测定和遗传评估等工作，完善系谱档案。</w:t>
      </w:r>
      <w:r>
        <w:rPr>
          <w:rFonts w:hint="eastAsia" w:ascii="仿宋" w:hAnsi="仿宋" w:eastAsia="仿宋" w:cs="仿宋"/>
          <w:color w:val="000000" w:themeColor="text1"/>
          <w:sz w:val="32"/>
          <w:szCs w:val="32"/>
        </w:rPr>
        <w:t>按照地方品种资源“应保尽保”原则，</w:t>
      </w:r>
      <w:r>
        <w:rPr>
          <w:rFonts w:hint="eastAsia" w:ascii="仿宋" w:hAnsi="仿宋" w:eastAsia="仿宋" w:cs="仿宋"/>
          <w:sz w:val="32"/>
          <w:szCs w:val="32"/>
        </w:rPr>
        <w:t>实施畜禽保种工程项目，</w:t>
      </w:r>
      <w:r>
        <w:rPr>
          <w:rFonts w:hint="eastAsia" w:ascii="仿宋" w:hAnsi="仿宋" w:eastAsia="仿宋" w:cs="仿宋"/>
          <w:sz w:val="32"/>
          <w:szCs w:val="32"/>
          <w:lang w:eastAsia="zh-CN"/>
        </w:rPr>
        <w:t>对纳入畜禽资源保护名录的品种</w:t>
      </w:r>
      <w:r>
        <w:rPr>
          <w:rFonts w:hint="eastAsia" w:ascii="仿宋" w:hAnsi="仿宋" w:eastAsia="仿宋" w:cs="仿宋"/>
          <w:sz w:val="32"/>
          <w:szCs w:val="32"/>
        </w:rPr>
        <w:t>划定保护区，建立保种场，</w:t>
      </w:r>
      <w:r>
        <w:rPr>
          <w:rFonts w:hint="eastAsia" w:ascii="仿宋" w:hAnsi="仿宋" w:eastAsia="仿宋" w:cs="仿宋"/>
          <w:sz w:val="32"/>
          <w:szCs w:val="32"/>
          <w:lang w:eastAsia="zh-CN"/>
        </w:rPr>
        <w:t>落实保护主体，</w:t>
      </w:r>
      <w:r>
        <w:rPr>
          <w:rFonts w:hint="eastAsia" w:ascii="仿宋" w:hAnsi="仿宋" w:eastAsia="仿宋" w:cs="仿宋"/>
          <w:sz w:val="32"/>
          <w:szCs w:val="32"/>
        </w:rPr>
        <w:t>通过选育提高，</w:t>
      </w:r>
      <w:r>
        <w:rPr>
          <w:rFonts w:hint="eastAsia" w:ascii="仿宋" w:hAnsi="仿宋" w:eastAsia="仿宋" w:cs="仿宋"/>
          <w:sz w:val="32"/>
          <w:szCs w:val="32"/>
          <w:lang w:eastAsia="zh-CN"/>
        </w:rPr>
        <w:t>加大</w:t>
      </w:r>
      <w:r>
        <w:rPr>
          <w:rFonts w:hint="eastAsia" w:ascii="仿宋" w:hAnsi="仿宋" w:eastAsia="仿宋" w:cs="仿宋"/>
          <w:sz w:val="32"/>
          <w:szCs w:val="32"/>
        </w:rPr>
        <w:t>优良地方家畜品种保护</w:t>
      </w:r>
      <w:r>
        <w:rPr>
          <w:rFonts w:hint="eastAsia" w:ascii="仿宋" w:hAnsi="仿宋" w:eastAsia="仿宋" w:cs="仿宋"/>
          <w:sz w:val="32"/>
          <w:szCs w:val="32"/>
          <w:lang w:eastAsia="zh-CN"/>
        </w:rPr>
        <w:t>力度。积极申请将</w:t>
      </w:r>
      <w:r>
        <w:rPr>
          <w:rFonts w:hint="eastAsia" w:ascii="仿宋" w:hAnsi="仿宋" w:eastAsia="仿宋" w:cs="仿宋"/>
          <w:sz w:val="32"/>
          <w:szCs w:val="32"/>
        </w:rPr>
        <w:t>苏尼特</w:t>
      </w:r>
      <w:r>
        <w:rPr>
          <w:rFonts w:hint="eastAsia" w:ascii="仿宋" w:hAnsi="仿宋" w:eastAsia="仿宋" w:cs="仿宋"/>
          <w:sz w:val="32"/>
          <w:szCs w:val="32"/>
          <w:lang w:eastAsia="zh-CN"/>
        </w:rPr>
        <w:t>双峰驼、乌珠穆沁白山羊纳入畜禽资源保护名录。</w:t>
      </w:r>
      <w:r>
        <w:rPr>
          <w:rFonts w:hint="eastAsia" w:ascii="仿宋" w:hAnsi="仿宋" w:eastAsia="仿宋" w:cs="仿宋"/>
          <w:sz w:val="32"/>
          <w:szCs w:val="32"/>
        </w:rPr>
        <w:t>落实种畜禽市场日常监管责任，加大种畜禽市场行政执法力度和监督管理，严厉打击假冒伪劣及无许可证生产经营等违法行为，实现种畜禽市场监管制度化、常态化，切实维护优良种畜禽正常生产经营秩序。</w:t>
      </w:r>
    </w:p>
    <w:p w14:paraId="3E05A2AB">
      <w:pPr>
        <w:pageBreakBefore w:val="0"/>
        <w:widowControl w:val="0"/>
        <w:numPr>
          <w:ilvl w:val="255"/>
          <w:numId w:val="0"/>
        </w:numPr>
        <w:kinsoku/>
        <w:wordWrap/>
        <w:overflowPunct/>
        <w:topLinePunct w:val="0"/>
        <w:autoSpaceDE/>
        <w:autoSpaceDN/>
        <w:bidi w:val="0"/>
        <w:adjustRightInd/>
        <w:snapToGrid/>
        <w:spacing w:line="600" w:lineRule="exact"/>
        <w:ind w:firstLine="643" w:firstLineChars="200"/>
        <w:textAlignment w:val="auto"/>
        <w:rPr>
          <w:rFonts w:ascii="仿宋" w:hAnsi="仿宋" w:eastAsia="仿宋" w:cstheme="minorBidi"/>
          <w:sz w:val="32"/>
          <w:szCs w:val="32"/>
        </w:rPr>
      </w:pPr>
      <w:r>
        <w:rPr>
          <w:rFonts w:hint="eastAsia" w:ascii="仿宋" w:hAnsi="仿宋" w:eastAsia="仿宋" w:cs="仿宋"/>
          <w:b/>
          <w:bCs/>
          <w:sz w:val="32"/>
          <w:szCs w:val="32"/>
        </w:rPr>
        <w:t>支持种业基地建设。</w:t>
      </w:r>
      <w:r>
        <w:rPr>
          <w:rFonts w:ascii="仿宋" w:hAnsi="仿宋" w:eastAsia="仿宋" w:cstheme="minorBidi"/>
          <w:sz w:val="32"/>
          <w:szCs w:val="32"/>
        </w:rPr>
        <w:t>加强畜禽良种选育，加快推进乌珠穆沁羊、苏尼特羊、察哈尔羊纯种扩繁，重点抓好优质西门塔尔牛、安格斯牛、华西牛培育扩繁。支持育种企业与科研院所、技术推广部门联合育种推广，扩大优势品种核心群规模，增强</w:t>
      </w:r>
      <w:r>
        <w:rPr>
          <w:rFonts w:hint="eastAsia" w:ascii="仿宋" w:hAnsi="仿宋" w:eastAsia="仿宋" w:cstheme="minorBidi"/>
          <w:sz w:val="32"/>
          <w:szCs w:val="32"/>
          <w:lang w:eastAsia="zh-CN"/>
        </w:rPr>
        <w:t>制种</w:t>
      </w:r>
      <w:r>
        <w:rPr>
          <w:rFonts w:ascii="仿宋" w:hAnsi="仿宋" w:eastAsia="仿宋" w:cstheme="minorBidi"/>
          <w:sz w:val="32"/>
          <w:szCs w:val="32"/>
        </w:rPr>
        <w:t>能力。</w:t>
      </w:r>
      <w:r>
        <w:rPr>
          <w:rFonts w:hint="eastAsia" w:ascii="仿宋" w:hAnsi="仿宋" w:eastAsia="仿宋" w:cstheme="minorBidi"/>
          <w:sz w:val="32"/>
          <w:szCs w:val="32"/>
          <w:lang w:eastAsia="zh-CN"/>
        </w:rPr>
        <w:t>推进</w:t>
      </w:r>
      <w:r>
        <w:rPr>
          <w:rFonts w:ascii="仿宋" w:hAnsi="仿宋" w:eastAsia="仿宋" w:cstheme="minorBidi"/>
          <w:sz w:val="32"/>
          <w:szCs w:val="32"/>
        </w:rPr>
        <w:t>马铃薯种薯基地建设，以多伦县、太仆寺旗、正蓝旗为重点，发挥马铃薯良种繁育基地和马铃薯育繁推一体化企业引领带动作用，</w:t>
      </w:r>
      <w:r>
        <w:rPr>
          <w:rFonts w:hint="eastAsia" w:ascii="仿宋" w:hAnsi="仿宋" w:eastAsia="仿宋" w:cstheme="minorBidi"/>
          <w:sz w:val="32"/>
          <w:szCs w:val="32"/>
          <w:lang w:eastAsia="zh-CN"/>
        </w:rPr>
        <w:t>构建完善的</w:t>
      </w:r>
      <w:r>
        <w:rPr>
          <w:rFonts w:ascii="仿宋" w:hAnsi="仿宋" w:eastAsia="仿宋" w:cstheme="minorBidi"/>
          <w:sz w:val="32"/>
          <w:szCs w:val="32"/>
        </w:rPr>
        <w:t>标准化生产技术体系和管理体系，建成一批标准化马铃薯种子生产基地。到2025年，全盟种业发展取得突出成效，主要农作物良种覆盖率力争达到98%以上，畜禽良种化率稳定在9</w:t>
      </w:r>
      <w:r>
        <w:rPr>
          <w:rFonts w:hint="eastAsia" w:ascii="仿宋" w:hAnsi="仿宋" w:eastAsia="仿宋" w:cstheme="minorBidi"/>
          <w:sz w:val="32"/>
          <w:szCs w:val="32"/>
          <w:lang w:val="en-US" w:eastAsia="zh-CN"/>
        </w:rPr>
        <w:t>7</w:t>
      </w:r>
      <w:r>
        <w:rPr>
          <w:rFonts w:ascii="仿宋" w:hAnsi="仿宋" w:eastAsia="仿宋" w:cstheme="minorBidi"/>
          <w:sz w:val="32"/>
          <w:szCs w:val="32"/>
        </w:rPr>
        <w:t>％以上，培育扶持2家以上市场竞争力、创新力、引领力较强的育繁推一体化现代种业龙头企业，力争国家肉羊肉牛核心育种场达到6处。</w:t>
      </w:r>
    </w:p>
    <w:bookmarkEnd w:id="300"/>
    <w:bookmarkEnd w:id="301"/>
    <w:bookmarkEnd w:id="302"/>
    <w:bookmarkEnd w:id="303"/>
    <w:p w14:paraId="6F15522F">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2"/>
        </w:rPr>
      </w:pPr>
      <w:bookmarkStart w:id="304" w:name="_Toc29335"/>
      <w:bookmarkStart w:id="305" w:name="_Toc557"/>
      <w:bookmarkStart w:id="306" w:name="_Toc21900"/>
      <w:bookmarkStart w:id="307" w:name="_Toc773067800_WPSOffice_Level2"/>
      <w:bookmarkStart w:id="308" w:name="_Toc20958"/>
      <w:bookmarkStart w:id="309" w:name="_Toc58870203"/>
      <w:bookmarkStart w:id="310" w:name="_Toc60561670"/>
      <w:bookmarkStart w:id="311" w:name="_Toc18176"/>
      <w:bookmarkStart w:id="312" w:name="_Toc59000576"/>
      <w:r>
        <w:rPr>
          <w:rFonts w:hint="eastAsia" w:ascii="Calibri Light" w:hAnsi="Calibri Light" w:cs="Times New Roman"/>
          <w:b w:val="0"/>
          <w:bCs w:val="0"/>
          <w:sz w:val="32"/>
          <w:szCs w:val="32"/>
        </w:rPr>
        <w:t xml:space="preserve">第三节 </w:t>
      </w:r>
      <w:r>
        <w:rPr>
          <w:rFonts w:hint="eastAsia" w:ascii="Calibri Light" w:hAnsi="Calibri Light" w:cs="Times New Roman"/>
          <w:b w:val="0"/>
          <w:bCs w:val="0"/>
          <w:sz w:val="32"/>
          <w:szCs w:val="32"/>
          <w:lang w:eastAsia="zh-CN"/>
        </w:rPr>
        <w:t>加强</w:t>
      </w:r>
      <w:r>
        <w:rPr>
          <w:rFonts w:hint="eastAsia" w:ascii="Calibri Light" w:hAnsi="Calibri Light" w:cs="Times New Roman"/>
          <w:b w:val="0"/>
          <w:bCs w:val="0"/>
          <w:sz w:val="32"/>
          <w:szCs w:val="32"/>
        </w:rPr>
        <w:t>农牧业科技支撑能力建设</w:t>
      </w:r>
      <w:bookmarkEnd w:id="304"/>
      <w:bookmarkEnd w:id="305"/>
      <w:bookmarkEnd w:id="306"/>
      <w:bookmarkEnd w:id="307"/>
      <w:bookmarkEnd w:id="308"/>
    </w:p>
    <w:p w14:paraId="268F4E91">
      <w:pPr>
        <w:pageBreakBefore w:val="0"/>
        <w:widowControl w:val="0"/>
        <w:numPr>
          <w:ilvl w:val="255"/>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加强农牧业关键技术攻坚。</w:t>
      </w:r>
      <w:r>
        <w:rPr>
          <w:rFonts w:hint="eastAsia" w:ascii="仿宋" w:hAnsi="仿宋" w:eastAsia="仿宋" w:cs="仿宋"/>
          <w:sz w:val="32"/>
          <w:szCs w:val="32"/>
          <w:lang w:eastAsia="zh-CN"/>
        </w:rPr>
        <w:t>加强与企业、高校、科研院所等专业机构合作，</w:t>
      </w:r>
      <w:r>
        <w:rPr>
          <w:rFonts w:hint="eastAsia" w:ascii="仿宋" w:hAnsi="仿宋" w:eastAsia="仿宋" w:cs="仿宋"/>
          <w:sz w:val="32"/>
          <w:szCs w:val="32"/>
        </w:rPr>
        <w:t>聚焦生物育种、高效种养殖、耕地保护和质量提升、草畜一体化、农作物病虫害绿色防控、动物重大疫病防控、农作物病虫疫情监测防控、农田土壤墒情监测、农牧业废弃物综合利用、智慧农牧业、农牧业机械装备、农牧业绿色投入品等关键领域，着力突破制约农牧业发展的关键技术问题，加快研发</w:t>
      </w:r>
      <w:r>
        <w:rPr>
          <w:rFonts w:hint="eastAsia" w:ascii="仿宋" w:hAnsi="仿宋" w:eastAsia="仿宋" w:cs="仿宋"/>
          <w:sz w:val="32"/>
          <w:szCs w:val="32"/>
          <w:lang w:eastAsia="zh-CN"/>
        </w:rPr>
        <w:t>和</w:t>
      </w:r>
      <w:r>
        <w:rPr>
          <w:rFonts w:hint="eastAsia" w:ascii="仿宋" w:hAnsi="仿宋" w:eastAsia="仿宋" w:cs="仿宋"/>
          <w:sz w:val="32"/>
          <w:szCs w:val="32"/>
        </w:rPr>
        <w:t>创新一批关键核心技术及产品，加速农牧科技应用成果转化应用。到2025年，农牧业科技进步贡献率达到55%。</w:t>
      </w:r>
    </w:p>
    <w:p w14:paraId="47D2B1E3">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提高</w:t>
      </w:r>
      <w:r>
        <w:rPr>
          <w:rFonts w:hint="eastAsia" w:ascii="仿宋" w:hAnsi="仿宋" w:eastAsia="仿宋" w:cs="仿宋"/>
          <w:b/>
          <w:bCs/>
          <w:sz w:val="32"/>
          <w:szCs w:val="32"/>
        </w:rPr>
        <w:t>农技推广服务</w:t>
      </w:r>
      <w:r>
        <w:rPr>
          <w:rFonts w:hint="eastAsia" w:ascii="仿宋" w:hAnsi="仿宋" w:eastAsia="仿宋" w:cs="仿宋"/>
          <w:b/>
          <w:bCs/>
          <w:sz w:val="32"/>
          <w:szCs w:val="32"/>
          <w:lang w:eastAsia="zh-CN"/>
        </w:rPr>
        <w:t>供给能力</w:t>
      </w:r>
      <w:r>
        <w:rPr>
          <w:rFonts w:hint="eastAsia" w:ascii="仿宋" w:hAnsi="仿宋" w:eastAsia="仿宋" w:cs="仿宋"/>
          <w:b/>
          <w:bCs/>
          <w:sz w:val="32"/>
          <w:szCs w:val="32"/>
        </w:rPr>
        <w:t>。</w:t>
      </w:r>
      <w:r>
        <w:rPr>
          <w:rFonts w:hint="eastAsia" w:ascii="仿宋" w:hAnsi="仿宋" w:eastAsia="仿宋" w:cs="仿宋"/>
          <w:sz w:val="32"/>
          <w:szCs w:val="32"/>
        </w:rPr>
        <w:t>按照</w:t>
      </w:r>
      <w:r>
        <w:rPr>
          <w:rFonts w:hint="eastAsia" w:ascii="仿宋" w:hAnsi="仿宋" w:eastAsia="仿宋" w:cs="仿宋"/>
          <w:sz w:val="32"/>
          <w:szCs w:val="32"/>
          <w:lang w:eastAsia="zh-CN"/>
        </w:rPr>
        <w:t>“</w:t>
      </w:r>
      <w:r>
        <w:rPr>
          <w:rFonts w:hint="eastAsia" w:ascii="仿宋" w:hAnsi="仿宋" w:eastAsia="仿宋" w:cs="仿宋"/>
          <w:sz w:val="32"/>
          <w:szCs w:val="32"/>
        </w:rPr>
        <w:t>示范推广到位、培训指导到位、产业引领到位</w:t>
      </w:r>
      <w:r>
        <w:rPr>
          <w:rFonts w:hint="eastAsia" w:ascii="仿宋" w:hAnsi="仿宋" w:eastAsia="仿宋" w:cs="仿宋"/>
          <w:sz w:val="32"/>
          <w:szCs w:val="32"/>
          <w:lang w:eastAsia="zh-CN"/>
        </w:rPr>
        <w:t>”</w:t>
      </w:r>
      <w:r>
        <w:rPr>
          <w:rFonts w:hint="eastAsia" w:ascii="仿宋" w:hAnsi="仿宋" w:eastAsia="仿宋" w:cs="仿宋"/>
          <w:sz w:val="32"/>
          <w:szCs w:val="32"/>
        </w:rPr>
        <w:t>要求，</w:t>
      </w:r>
      <w:r>
        <w:rPr>
          <w:rFonts w:hint="eastAsia" w:ascii="仿宋" w:hAnsi="仿宋" w:eastAsia="仿宋" w:cs="仿宋"/>
          <w:sz w:val="32"/>
          <w:szCs w:val="32"/>
          <w:lang w:eastAsia="zh-CN"/>
        </w:rPr>
        <w:t>加强试验示范基地、农牧业科技园区、科技特派员工作站、科技专家大（小）院、星创天地、众创空间、“</w:t>
      </w:r>
      <w:r>
        <w:rPr>
          <w:rFonts w:hint="eastAsia" w:ascii="仿宋" w:hAnsi="仿宋" w:eastAsia="仿宋" w:cs="仿宋"/>
          <w:sz w:val="32"/>
          <w:szCs w:val="32"/>
          <w:lang w:val="en-US" w:eastAsia="zh-CN"/>
        </w:rPr>
        <w:t>12396”服务</w:t>
      </w:r>
      <w:r>
        <w:rPr>
          <w:rFonts w:hint="eastAsia" w:ascii="仿宋" w:hAnsi="仿宋" w:eastAsia="仿宋" w:cs="仿宋"/>
          <w:sz w:val="32"/>
          <w:szCs w:val="32"/>
          <w:lang w:eastAsia="zh-CN"/>
        </w:rPr>
        <w:t>等基地和平台建设力度，引进</w:t>
      </w:r>
      <w:r>
        <w:rPr>
          <w:rFonts w:hint="eastAsia" w:ascii="仿宋" w:hAnsi="仿宋" w:eastAsia="仿宋" w:cs="仿宋"/>
          <w:sz w:val="32"/>
          <w:szCs w:val="32"/>
        </w:rPr>
        <w:t>推广</w:t>
      </w:r>
      <w:r>
        <w:rPr>
          <w:rFonts w:hint="eastAsia" w:ascii="仿宋" w:hAnsi="仿宋" w:eastAsia="仿宋" w:cs="仿宋"/>
          <w:sz w:val="32"/>
          <w:szCs w:val="32"/>
          <w:lang w:eastAsia="zh-CN"/>
        </w:rPr>
        <w:t>“</w:t>
      </w:r>
      <w:r>
        <w:rPr>
          <w:rFonts w:hint="eastAsia" w:ascii="仿宋" w:hAnsi="仿宋" w:eastAsia="仿宋" w:cs="仿宋"/>
          <w:sz w:val="32"/>
          <w:szCs w:val="32"/>
        </w:rPr>
        <w:t>资源节约、增产增效、生态环保、质量安全</w:t>
      </w:r>
      <w:r>
        <w:rPr>
          <w:rFonts w:hint="eastAsia" w:ascii="仿宋" w:hAnsi="仿宋" w:eastAsia="仿宋" w:cs="仿宋"/>
          <w:sz w:val="32"/>
          <w:szCs w:val="32"/>
          <w:lang w:eastAsia="zh-CN"/>
        </w:rPr>
        <w:t>”</w:t>
      </w:r>
      <w:r>
        <w:rPr>
          <w:rFonts w:hint="eastAsia" w:ascii="仿宋" w:hAnsi="仿宋" w:eastAsia="仿宋" w:cs="仿宋"/>
          <w:sz w:val="32"/>
          <w:szCs w:val="32"/>
        </w:rPr>
        <w:t>的优质绿色高效技术模式</w:t>
      </w:r>
      <w:r>
        <w:rPr>
          <w:rFonts w:hint="eastAsia" w:ascii="仿宋" w:hAnsi="仿宋" w:eastAsia="仿宋" w:cs="仿宋"/>
          <w:sz w:val="32"/>
          <w:szCs w:val="32"/>
          <w:lang w:eastAsia="zh-CN"/>
        </w:rPr>
        <w:t>，推进产学研、农科教相结合，提升基层农技推广服务效能</w:t>
      </w:r>
      <w:r>
        <w:rPr>
          <w:rFonts w:hint="eastAsia" w:ascii="仿宋" w:hAnsi="仿宋" w:eastAsia="仿宋" w:cs="仿宋"/>
          <w:sz w:val="32"/>
          <w:szCs w:val="32"/>
        </w:rPr>
        <w:t>。</w:t>
      </w:r>
      <w:r>
        <w:rPr>
          <w:rFonts w:hint="eastAsia" w:ascii="仿宋" w:hAnsi="仿宋" w:eastAsia="仿宋" w:cs="仿宋"/>
          <w:sz w:val="32"/>
          <w:szCs w:val="32"/>
          <w:lang w:eastAsia="zh-CN"/>
        </w:rPr>
        <w:t>发挥专业技术人员引领指导作用</w:t>
      </w:r>
      <w:r>
        <w:rPr>
          <w:rFonts w:hint="eastAsia" w:ascii="仿宋" w:hAnsi="仿宋" w:eastAsia="仿宋" w:cs="仿宋"/>
          <w:sz w:val="32"/>
          <w:szCs w:val="32"/>
        </w:rPr>
        <w:t>，完善以“专家+农技人员+科技示范主体+辐射带动户”的技术服务模式，</w:t>
      </w:r>
      <w:r>
        <w:rPr>
          <w:rFonts w:hint="eastAsia" w:ascii="仿宋" w:hAnsi="仿宋" w:eastAsia="仿宋" w:cs="仿宋"/>
          <w:sz w:val="32"/>
          <w:szCs w:val="32"/>
          <w:lang w:eastAsia="zh-CN"/>
        </w:rPr>
        <w:t>广泛组织开展实操实训工作，畅通农技服务最后一公里</w:t>
      </w:r>
      <w:r>
        <w:rPr>
          <w:rFonts w:hint="eastAsia" w:ascii="仿宋" w:hAnsi="仿宋" w:eastAsia="仿宋" w:cs="仿宋"/>
          <w:sz w:val="32"/>
          <w:szCs w:val="32"/>
        </w:rPr>
        <w:t>。全面实施农技推广服务特聘计划，采取政府购买服务</w:t>
      </w:r>
      <w:r>
        <w:rPr>
          <w:rFonts w:hint="eastAsia" w:ascii="仿宋" w:hAnsi="仿宋" w:eastAsia="仿宋" w:cs="仿宋"/>
          <w:sz w:val="32"/>
          <w:szCs w:val="32"/>
          <w:lang w:eastAsia="zh-CN"/>
        </w:rPr>
        <w:t>等</w:t>
      </w:r>
      <w:r>
        <w:rPr>
          <w:rFonts w:hint="eastAsia" w:ascii="仿宋" w:hAnsi="仿宋" w:eastAsia="仿宋" w:cs="仿宋"/>
          <w:sz w:val="32"/>
          <w:szCs w:val="32"/>
        </w:rPr>
        <w:t>方式，将符合岗位要求的大学毕业生、乡土专家等充实到基层农技服务队伍中，点对点为农牧民提供技术服务。</w:t>
      </w:r>
      <w:r>
        <w:rPr>
          <w:rFonts w:hint="eastAsia" w:ascii="仿宋" w:hAnsi="仿宋" w:eastAsia="仿宋" w:cs="仿宋"/>
          <w:sz w:val="32"/>
          <w:szCs w:val="32"/>
          <w:lang w:eastAsia="zh-CN"/>
        </w:rPr>
        <w:t>推进公益性服务与经营性服务互补和深度融合，建设“一主多元”的农技推广服务体系</w:t>
      </w:r>
      <w:r>
        <w:rPr>
          <w:rFonts w:hint="eastAsia" w:ascii="仿宋" w:hAnsi="仿宋" w:eastAsia="仿宋" w:cs="仿宋"/>
          <w:sz w:val="32"/>
          <w:szCs w:val="32"/>
        </w:rPr>
        <w:t>。</w:t>
      </w:r>
      <w:r>
        <w:rPr>
          <w:rFonts w:hint="eastAsia" w:ascii="仿宋" w:hAnsi="仿宋" w:eastAsia="仿宋" w:cs="仿宋"/>
          <w:sz w:val="32"/>
          <w:szCs w:val="32"/>
          <w:lang w:eastAsia="zh-CN"/>
        </w:rPr>
        <w:t>到</w:t>
      </w:r>
      <w:r>
        <w:rPr>
          <w:rFonts w:hint="eastAsia" w:ascii="仿宋" w:hAnsi="仿宋" w:eastAsia="仿宋" w:cs="仿宋"/>
          <w:sz w:val="32"/>
          <w:szCs w:val="32"/>
          <w:lang w:val="en-US" w:eastAsia="zh-CN"/>
        </w:rPr>
        <w:t>2025年，培育盟级以上农牧业科技园区7家，建设科技专家大（小）院30个，新增科技特派员工作站10家，向农村牧区和企业转化推广科技成果和先进适用技术100项以上。</w:t>
      </w:r>
    </w:p>
    <w:p w14:paraId="495B5911">
      <w:pPr>
        <w:pStyle w:val="2"/>
        <w:pageBreakBefore w:val="0"/>
        <w:widowControl w:val="0"/>
        <w:kinsoku/>
        <w:wordWrap/>
        <w:overflowPunct/>
        <w:topLinePunct w:val="0"/>
        <w:autoSpaceDE/>
        <w:autoSpaceDN/>
        <w:bidi w:val="0"/>
        <w:adjustRightInd/>
        <w:snapToGrid/>
        <w:spacing w:after="156" w:afterLines="50"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提</w:t>
      </w:r>
      <w:r>
        <w:rPr>
          <w:rFonts w:hint="eastAsia" w:ascii="仿宋" w:hAnsi="仿宋" w:eastAsia="仿宋" w:cs="仿宋"/>
          <w:b/>
          <w:bCs/>
          <w:sz w:val="32"/>
          <w:szCs w:val="32"/>
          <w:lang w:eastAsia="zh-CN"/>
        </w:rPr>
        <w:t>升</w:t>
      </w:r>
      <w:r>
        <w:rPr>
          <w:rFonts w:hint="eastAsia" w:ascii="仿宋" w:hAnsi="仿宋" w:eastAsia="仿宋" w:cs="仿宋"/>
          <w:b/>
          <w:bCs/>
          <w:sz w:val="32"/>
          <w:szCs w:val="32"/>
        </w:rPr>
        <w:t>农牧业机械化水平。</w:t>
      </w:r>
      <w:r>
        <w:rPr>
          <w:rFonts w:ascii="Times New Roman" w:hAnsi="Times New Roman" w:eastAsia="仿宋" w:cs="Times New Roman"/>
          <w:sz w:val="32"/>
          <w:szCs w:val="32"/>
        </w:rPr>
        <w:t>依托天然草场、人工草场、</w:t>
      </w:r>
      <w:r>
        <w:rPr>
          <w:rFonts w:hint="eastAsia" w:ascii="仿宋" w:hAnsi="仿宋" w:eastAsia="仿宋" w:cs="仿宋"/>
          <w:sz w:val="32"/>
          <w:szCs w:val="32"/>
        </w:rPr>
        <w:t>“粮改饲”</w:t>
      </w:r>
      <w:r>
        <w:rPr>
          <w:rFonts w:ascii="Times New Roman" w:hAnsi="Times New Roman" w:eastAsia="仿宋" w:cs="Times New Roman"/>
          <w:sz w:val="32"/>
          <w:szCs w:val="32"/>
        </w:rPr>
        <w:t>优质高产饲料规模化种植区，大力发展畜牧业生产机械化，重点推广大型高端饲草料生产加工机械化技术与装备，推动饲草料生产机械化转型升级。聚焦草原生态保护和修复机械化薄弱环节，大力推广牧草补播、切根改良、野生草种采集、牧草种子清选加工、草原生物灾害防治</w:t>
      </w:r>
      <w:r>
        <w:rPr>
          <w:rFonts w:hint="eastAsia" w:ascii="Times New Roman" w:hAnsi="Times New Roman" w:eastAsia="仿宋" w:cs="Times New Roman"/>
          <w:sz w:val="32"/>
          <w:szCs w:val="32"/>
        </w:rPr>
        <w:t>、</w:t>
      </w:r>
      <w:r>
        <w:rPr>
          <w:rFonts w:ascii="Times New Roman" w:hAnsi="Times New Roman" w:eastAsia="仿宋" w:cs="Times New Roman"/>
          <w:sz w:val="32"/>
          <w:szCs w:val="32"/>
        </w:rPr>
        <w:t>精准施药和绿色防控等机械化技术。</w:t>
      </w:r>
      <w:r>
        <w:rPr>
          <w:rFonts w:hint="eastAsia" w:ascii="Times New Roman" w:hAnsi="Times New Roman" w:eastAsia="仿宋" w:cs="Times New Roman"/>
          <w:sz w:val="32"/>
          <w:szCs w:val="32"/>
        </w:rPr>
        <w:t>推进粮食作物和战略性经济作物育、耕、种、管、收、运、贮、初加工等薄弱环节先进农机装备应用。</w:t>
      </w:r>
      <w:r>
        <w:rPr>
          <w:rFonts w:ascii="Times New Roman" w:hAnsi="Times New Roman" w:eastAsia="仿宋" w:cs="Times New Roman"/>
          <w:sz w:val="32"/>
          <w:szCs w:val="32"/>
        </w:rPr>
        <w:t>加快</w:t>
      </w:r>
      <w:r>
        <w:rPr>
          <w:rFonts w:hint="eastAsia" w:ascii="Times New Roman" w:hAnsi="Times New Roman" w:eastAsia="仿宋" w:cs="Times New Roman"/>
          <w:sz w:val="32"/>
          <w:szCs w:val="32"/>
        </w:rPr>
        <w:t>发展“全程机械化</w:t>
      </w:r>
      <w:r>
        <w:rPr>
          <w:rFonts w:hint="eastAsia" w:ascii="仿宋" w:hAnsi="仿宋" w:eastAsia="仿宋" w:cs="仿宋"/>
          <w:sz w:val="32"/>
          <w:szCs w:val="32"/>
        </w:rPr>
        <w:t>+</w:t>
      </w:r>
      <w:r>
        <w:rPr>
          <w:rFonts w:hint="eastAsia" w:ascii="Times New Roman" w:hAnsi="Times New Roman" w:eastAsia="仿宋" w:cs="Times New Roman"/>
          <w:sz w:val="32"/>
          <w:szCs w:val="32"/>
        </w:rPr>
        <w:t>综合农事”等农机服务新模式，</w:t>
      </w:r>
      <w:r>
        <w:rPr>
          <w:rFonts w:ascii="Times New Roman" w:hAnsi="Times New Roman" w:eastAsia="仿宋" w:cs="Times New Roman"/>
          <w:sz w:val="32"/>
          <w:szCs w:val="32"/>
        </w:rPr>
        <w:t>推进主要农作物全程机械化示范旗县建设。以实施农机购置</w:t>
      </w:r>
      <w:r>
        <w:rPr>
          <w:rFonts w:hint="eastAsia" w:ascii="Times New Roman" w:hAnsi="Times New Roman" w:eastAsia="仿宋" w:cs="Times New Roman"/>
          <w:sz w:val="32"/>
          <w:szCs w:val="32"/>
          <w:lang w:eastAsia="zh-CN"/>
        </w:rPr>
        <w:t>与应用</w:t>
      </w:r>
      <w:r>
        <w:rPr>
          <w:rFonts w:ascii="Times New Roman" w:hAnsi="Times New Roman" w:eastAsia="仿宋" w:cs="Times New Roman"/>
          <w:sz w:val="32"/>
          <w:szCs w:val="32"/>
        </w:rPr>
        <w:t>补贴政策为推手，</w:t>
      </w:r>
      <w:r>
        <w:rPr>
          <w:rFonts w:hint="eastAsia" w:ascii="Times New Roman" w:hAnsi="Times New Roman" w:eastAsia="仿宋" w:cs="Times New Roman"/>
          <w:sz w:val="32"/>
          <w:szCs w:val="32"/>
        </w:rPr>
        <w:t>面向保护性耕作、秸秆还田、畜禽粪污综合利用等领域和环节，大力推</w:t>
      </w:r>
      <w:r>
        <w:rPr>
          <w:rFonts w:hint="eastAsia" w:ascii="仿宋" w:hAnsi="仿宋" w:eastAsia="仿宋" w:cs="仿宋"/>
          <w:sz w:val="32"/>
          <w:szCs w:val="32"/>
        </w:rPr>
        <w:t>广绿色高效机械化技术。鼓励农牧业生产与大数据、物联网、空间信息、智能装备深度融合，</w:t>
      </w:r>
      <w:r>
        <w:rPr>
          <w:rFonts w:hint="eastAsia" w:ascii="仿宋" w:hAnsi="仿宋" w:eastAsia="仿宋" w:cs="仿宋"/>
          <w:sz w:val="32"/>
          <w:szCs w:val="32"/>
          <w:lang w:eastAsia="zh-CN"/>
        </w:rPr>
        <w:t>提升</w:t>
      </w:r>
      <w:r>
        <w:rPr>
          <w:rFonts w:hint="eastAsia" w:ascii="仿宋" w:hAnsi="仿宋" w:eastAsia="仿宋" w:cs="仿宋"/>
          <w:sz w:val="32"/>
          <w:szCs w:val="32"/>
        </w:rPr>
        <w:t>农牧业机械数字化水平。到2025年，全盟农作物耕种收综合机械化率</w:t>
      </w:r>
      <w:r>
        <w:rPr>
          <w:rFonts w:hint="eastAsia" w:ascii="仿宋" w:hAnsi="仿宋" w:eastAsia="仿宋" w:cs="仿宋"/>
          <w:sz w:val="32"/>
          <w:szCs w:val="32"/>
          <w:lang w:eastAsia="zh-CN"/>
        </w:rPr>
        <w:t>达到</w:t>
      </w:r>
      <w:r>
        <w:rPr>
          <w:rFonts w:hint="eastAsia" w:ascii="仿宋" w:hAnsi="仿宋" w:eastAsia="仿宋" w:cs="仿宋"/>
          <w:sz w:val="32"/>
          <w:szCs w:val="32"/>
        </w:rPr>
        <w:t>92%，经济特色作物生产基本实现全程机械化，设施农业、畜牧养殖和农畜产品初加工机械化率达到50%以上。</w:t>
      </w:r>
    </w:p>
    <w:p w14:paraId="3C2117A1">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2"/>
        </w:rPr>
      </w:pPr>
      <w:bookmarkStart w:id="313" w:name="_Toc28305"/>
      <w:bookmarkStart w:id="314" w:name="_Toc12305"/>
      <w:bookmarkStart w:id="315" w:name="_Toc1193121066_WPSOffice_Level2"/>
      <w:bookmarkStart w:id="316" w:name="_Toc1498"/>
      <w:r>
        <w:rPr>
          <w:rFonts w:hint="eastAsia" w:ascii="Calibri Light" w:hAnsi="Calibri Light" w:cs="Times New Roman"/>
          <w:b w:val="0"/>
          <w:bCs w:val="0"/>
          <w:sz w:val="32"/>
          <w:szCs w:val="32"/>
        </w:rPr>
        <w:t>第四节</w:t>
      </w:r>
      <w:r>
        <w:rPr>
          <w:rFonts w:ascii="Calibri Light" w:hAnsi="Calibri Light" w:cs="Times New Roman"/>
          <w:b w:val="0"/>
          <w:bCs w:val="0"/>
          <w:sz w:val="32"/>
          <w:szCs w:val="32"/>
        </w:rPr>
        <w:t xml:space="preserve"> </w:t>
      </w:r>
      <w:r>
        <w:rPr>
          <w:rFonts w:hint="eastAsia" w:ascii="Calibri Light" w:hAnsi="Calibri Light" w:cs="Times New Roman"/>
          <w:b w:val="0"/>
          <w:bCs w:val="0"/>
          <w:sz w:val="32"/>
          <w:szCs w:val="32"/>
        </w:rPr>
        <w:t>加强农村牧区人才队伍建设</w:t>
      </w:r>
      <w:bookmarkEnd w:id="313"/>
      <w:bookmarkEnd w:id="314"/>
      <w:bookmarkEnd w:id="315"/>
      <w:bookmarkEnd w:id="316"/>
    </w:p>
    <w:p w14:paraId="413A12C9">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FF0000"/>
          <w:sz w:val="32"/>
          <w:szCs w:val="32"/>
        </w:rPr>
      </w:pPr>
      <w:r>
        <w:rPr>
          <w:rFonts w:hint="eastAsia" w:ascii="仿宋" w:hAnsi="仿宋" w:eastAsia="仿宋" w:cs="仿宋"/>
          <w:b/>
          <w:bCs/>
          <w:sz w:val="32"/>
          <w:szCs w:val="32"/>
          <w:lang w:eastAsia="zh-CN"/>
        </w:rPr>
        <w:t>大力</w:t>
      </w:r>
      <w:r>
        <w:rPr>
          <w:rFonts w:hint="eastAsia" w:ascii="仿宋" w:hAnsi="仿宋" w:eastAsia="仿宋" w:cs="仿宋"/>
          <w:b/>
          <w:bCs/>
          <w:sz w:val="32"/>
          <w:szCs w:val="32"/>
        </w:rPr>
        <w:t>加强科技人才队伍建设。</w:t>
      </w:r>
      <w:r>
        <w:rPr>
          <w:rFonts w:hint="eastAsia" w:ascii="仿宋" w:hAnsi="仿宋" w:eastAsia="仿宋" w:cs="仿宋"/>
          <w:sz w:val="32"/>
          <w:szCs w:val="32"/>
          <w:lang w:eastAsia="zh-CN"/>
        </w:rPr>
        <w:t>各级</w:t>
      </w:r>
      <w:r>
        <w:rPr>
          <w:rFonts w:hint="eastAsia" w:ascii="仿宋" w:hAnsi="仿宋" w:eastAsia="仿宋" w:cs="仿宋"/>
          <w:color w:val="000000" w:themeColor="text1"/>
          <w:sz w:val="32"/>
          <w:szCs w:val="32"/>
        </w:rPr>
        <w:t>重大人才工程、人才专项优先支持农牧</w:t>
      </w:r>
      <w:r>
        <w:rPr>
          <w:rFonts w:hint="eastAsia" w:ascii="仿宋" w:hAnsi="仿宋" w:eastAsia="仿宋" w:cs="仿宋"/>
          <w:color w:val="000000" w:themeColor="text1"/>
          <w:sz w:val="32"/>
          <w:szCs w:val="32"/>
          <w:lang w:eastAsia="zh-CN"/>
        </w:rPr>
        <w:t>发展</w:t>
      </w:r>
      <w:r>
        <w:rPr>
          <w:rFonts w:hint="eastAsia" w:ascii="仿宋" w:hAnsi="仿宋" w:eastAsia="仿宋" w:cs="仿宋"/>
          <w:color w:val="000000" w:themeColor="text1"/>
          <w:sz w:val="32"/>
          <w:szCs w:val="32"/>
        </w:rPr>
        <w:t>领域</w:t>
      </w:r>
      <w:r>
        <w:rPr>
          <w:rFonts w:hint="eastAsia" w:ascii="仿宋" w:hAnsi="仿宋" w:eastAsia="仿宋" w:cs="仿宋"/>
          <w:color w:val="000000" w:themeColor="text1"/>
          <w:sz w:val="32"/>
          <w:szCs w:val="32"/>
          <w:lang w:eastAsia="zh-CN"/>
        </w:rPr>
        <w:t>，加强</w:t>
      </w:r>
      <w:r>
        <w:rPr>
          <w:rFonts w:hint="eastAsia" w:ascii="仿宋" w:hAnsi="仿宋" w:eastAsia="仿宋" w:cs="仿宋"/>
          <w:color w:val="000000" w:themeColor="text1"/>
          <w:sz w:val="32"/>
          <w:szCs w:val="32"/>
        </w:rPr>
        <w:t>科研杰出人才培养</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加快培育一批科技领军人才和团队。推广科技特派员创业、科技专家咨询、“三区”科技人员服务等模式，构建“科技特派员+项目+农牧户”的创新服务体系，推动科技人才和团队向农村牧区集聚。实施基层农技人员能力提升</w:t>
      </w:r>
      <w:r>
        <w:rPr>
          <w:rFonts w:hint="eastAsia" w:ascii="仿宋" w:hAnsi="仿宋" w:eastAsia="仿宋" w:cs="仿宋"/>
          <w:color w:val="000000" w:themeColor="text1"/>
          <w:sz w:val="32"/>
          <w:szCs w:val="32"/>
          <w:lang w:eastAsia="zh-CN"/>
        </w:rPr>
        <w:t>工程</w:t>
      </w:r>
      <w:r>
        <w:rPr>
          <w:rFonts w:hint="eastAsia" w:ascii="仿宋" w:hAnsi="仿宋" w:eastAsia="仿宋" w:cs="仿宋"/>
          <w:color w:val="000000" w:themeColor="text1"/>
          <w:sz w:val="32"/>
          <w:szCs w:val="32"/>
        </w:rPr>
        <w:t>，依托基层农技推广体系改革与补助项目建设，分层次组织农技人员参加农技推广骨干人才培养、异地研修、集中培训和现场实训，提高专业素质和</w:t>
      </w:r>
      <w:r>
        <w:rPr>
          <w:rFonts w:hint="eastAsia" w:ascii="仿宋" w:hAnsi="仿宋" w:eastAsia="仿宋" w:cs="仿宋"/>
          <w:color w:val="000000" w:themeColor="text1"/>
          <w:sz w:val="32"/>
          <w:szCs w:val="32"/>
          <w:lang w:eastAsia="zh-CN"/>
        </w:rPr>
        <w:t>技术</w:t>
      </w:r>
      <w:r>
        <w:rPr>
          <w:rFonts w:hint="eastAsia" w:ascii="仿宋" w:hAnsi="仿宋" w:eastAsia="仿宋" w:cs="仿宋"/>
          <w:color w:val="000000" w:themeColor="text1"/>
          <w:sz w:val="32"/>
          <w:szCs w:val="32"/>
        </w:rPr>
        <w:t>能力。支持基层农技推广队伍中非专业和低学历人员，通过在职研修等方式进行学历提升教育。以提升农牧民科技文化素质为重点，全面提高农牧民科学生产和科学经营能力。</w:t>
      </w:r>
    </w:p>
    <w:p w14:paraId="60CEBC9D">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加快</w:t>
      </w:r>
      <w:r>
        <w:rPr>
          <w:rFonts w:hint="eastAsia" w:ascii="仿宋" w:hAnsi="仿宋" w:eastAsia="仿宋" w:cs="仿宋"/>
          <w:b/>
          <w:bCs/>
          <w:sz w:val="32"/>
          <w:szCs w:val="32"/>
        </w:rPr>
        <w:t>培养农牧业生产经营人才。</w:t>
      </w:r>
      <w:r>
        <w:rPr>
          <w:rFonts w:hint="eastAsia" w:ascii="仿宋" w:hAnsi="仿宋" w:eastAsia="仿宋" w:cs="仿宋"/>
          <w:sz w:val="32"/>
          <w:szCs w:val="32"/>
        </w:rPr>
        <w:t>依托国家高素质农民培育工程，重点培育农牧业经理人、种养殖大户管理者和专业性服务人才等高素质农牧民</w:t>
      </w:r>
      <w:r>
        <w:rPr>
          <w:rFonts w:hint="eastAsia" w:ascii="仿宋" w:hAnsi="仿宋" w:eastAsia="仿宋" w:cs="仿宋"/>
          <w:sz w:val="32"/>
          <w:szCs w:val="32"/>
          <w:lang w:eastAsia="zh-CN"/>
        </w:rPr>
        <w:t>。聚焦项目支持、生产指导、质量管理和对接市场等方面，突出抓好家庭农牧场经营者、农牧民合作社带头人培育工作</w:t>
      </w:r>
      <w:r>
        <w:rPr>
          <w:rFonts w:hint="eastAsia" w:ascii="仿宋" w:hAnsi="仿宋" w:eastAsia="仿宋" w:cs="仿宋"/>
          <w:sz w:val="32"/>
          <w:szCs w:val="32"/>
        </w:rPr>
        <w:t>。实施农村牧区实用人才培养计划，加强培训基地建设，培养造就一批能够引领一方、带动一片的农村牧区实用人才带头人。充分利用现有网络教育资源，加强农牧民在线教育培训。</w:t>
      </w:r>
    </w:p>
    <w:p w14:paraId="0B40BA1F">
      <w:pPr>
        <w:pStyle w:val="2"/>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积极培育</w:t>
      </w:r>
      <w:r>
        <w:rPr>
          <w:rFonts w:hint="eastAsia" w:ascii="仿宋" w:hAnsi="仿宋" w:eastAsia="仿宋" w:cs="仿宋"/>
          <w:b/>
          <w:bCs/>
          <w:sz w:val="32"/>
          <w:szCs w:val="32"/>
        </w:rPr>
        <w:t>农村牧区二三产业人才。</w:t>
      </w:r>
      <w:r>
        <w:rPr>
          <w:rFonts w:hint="eastAsia" w:ascii="仿宋" w:hAnsi="仿宋" w:eastAsia="仿宋" w:cs="仿宋"/>
          <w:sz w:val="32"/>
          <w:szCs w:val="32"/>
        </w:rPr>
        <w:t>深入实施农村牧区创业创新带头人培育行动</w:t>
      </w:r>
      <w:r>
        <w:rPr>
          <w:rFonts w:hint="eastAsia" w:ascii="仿宋" w:hAnsi="仿宋" w:eastAsia="仿宋" w:cs="仿宋"/>
          <w:sz w:val="32"/>
          <w:szCs w:val="32"/>
          <w:lang w:eastAsia="zh-CN"/>
        </w:rPr>
        <w:t>，</w:t>
      </w:r>
      <w:r>
        <w:rPr>
          <w:rFonts w:hint="eastAsia" w:ascii="仿宋" w:hAnsi="仿宋" w:eastAsia="仿宋" w:cs="仿宋"/>
          <w:sz w:val="32"/>
          <w:szCs w:val="32"/>
        </w:rPr>
        <w:t>加大扶持和培育一批扎根</w:t>
      </w:r>
      <w:r>
        <w:rPr>
          <w:rFonts w:hint="eastAsia" w:ascii="仿宋" w:hAnsi="仿宋" w:eastAsia="仿宋" w:cs="仿宋"/>
          <w:sz w:val="32"/>
          <w:szCs w:val="32"/>
          <w:lang w:eastAsia="zh-CN"/>
        </w:rPr>
        <w:t>基层</w:t>
      </w:r>
      <w:r>
        <w:rPr>
          <w:rFonts w:hint="eastAsia" w:ascii="仿宋" w:hAnsi="仿宋" w:eastAsia="仿宋" w:cs="仿宋"/>
          <w:sz w:val="32"/>
          <w:szCs w:val="32"/>
        </w:rPr>
        <w:t>、服务农牧业、带动农牧民的创业</w:t>
      </w:r>
      <w:r>
        <w:rPr>
          <w:rFonts w:hint="eastAsia" w:ascii="仿宋" w:hAnsi="仿宋" w:eastAsia="仿宋" w:cs="仿宋"/>
          <w:sz w:val="32"/>
          <w:szCs w:val="32"/>
          <w:lang w:eastAsia="zh-CN"/>
        </w:rPr>
        <w:t>创</w:t>
      </w:r>
      <w:r>
        <w:rPr>
          <w:rFonts w:hint="eastAsia" w:ascii="仿宋" w:hAnsi="仿宋" w:eastAsia="仿宋" w:cs="仿宋"/>
          <w:sz w:val="32"/>
          <w:szCs w:val="32"/>
        </w:rPr>
        <w:t>新群体</w:t>
      </w:r>
      <w:r>
        <w:rPr>
          <w:rFonts w:hint="eastAsia" w:ascii="仿宋" w:hAnsi="仿宋" w:eastAsia="仿宋" w:cs="仿宋"/>
          <w:sz w:val="32"/>
          <w:szCs w:val="32"/>
          <w:lang w:eastAsia="zh-CN"/>
        </w:rPr>
        <w:t>，</w:t>
      </w:r>
      <w:r>
        <w:rPr>
          <w:rFonts w:hint="eastAsia" w:ascii="仿宋" w:hAnsi="仿宋" w:eastAsia="仿宋" w:cs="仿宋"/>
          <w:sz w:val="32"/>
          <w:szCs w:val="32"/>
        </w:rPr>
        <w:t>不断改善农村牧区创业创新生态</w:t>
      </w:r>
      <w:r>
        <w:rPr>
          <w:rFonts w:hint="eastAsia" w:ascii="仿宋" w:hAnsi="仿宋" w:eastAsia="仿宋" w:cs="仿宋"/>
          <w:sz w:val="32"/>
          <w:szCs w:val="32"/>
          <w:lang w:eastAsia="zh-CN"/>
        </w:rPr>
        <w:t>，</w:t>
      </w:r>
      <w:r>
        <w:rPr>
          <w:rFonts w:hint="eastAsia" w:ascii="仿宋" w:hAnsi="仿宋" w:eastAsia="仿宋" w:cs="仿宋"/>
          <w:sz w:val="32"/>
          <w:szCs w:val="32"/>
        </w:rPr>
        <w:t>加快建设农村牧区创业实训基地。壮大新一代农村牧区企业家队伍，通过专题培训、实践锻炼、学习交流等方式</w:t>
      </w:r>
      <w:r>
        <w:rPr>
          <w:rFonts w:hint="eastAsia" w:ascii="仿宋" w:hAnsi="仿宋" w:eastAsia="仿宋" w:cs="仿宋"/>
          <w:sz w:val="32"/>
          <w:szCs w:val="32"/>
          <w:lang w:eastAsia="zh-CN"/>
        </w:rPr>
        <w:t>，</w:t>
      </w:r>
      <w:r>
        <w:rPr>
          <w:rFonts w:hint="eastAsia" w:ascii="仿宋" w:hAnsi="仿宋" w:eastAsia="仿宋" w:cs="仿宋"/>
          <w:sz w:val="32"/>
          <w:szCs w:val="32"/>
        </w:rPr>
        <w:t>完善农村牧区企业家培训体系</w:t>
      </w:r>
      <w:r>
        <w:rPr>
          <w:rFonts w:hint="eastAsia" w:ascii="仿宋" w:hAnsi="仿宋" w:eastAsia="仿宋" w:cs="仿宋"/>
          <w:sz w:val="32"/>
          <w:szCs w:val="32"/>
          <w:lang w:eastAsia="zh-CN"/>
        </w:rPr>
        <w:t>和激励机制</w:t>
      </w:r>
      <w:r>
        <w:rPr>
          <w:rFonts w:hint="eastAsia" w:ascii="仿宋" w:hAnsi="仿宋" w:eastAsia="仿宋" w:cs="仿宋"/>
          <w:sz w:val="32"/>
          <w:szCs w:val="32"/>
        </w:rPr>
        <w:t>。加强农村牧区电商人才培育，</w:t>
      </w:r>
      <w:r>
        <w:rPr>
          <w:rFonts w:hint="eastAsia" w:ascii="仿宋" w:hAnsi="仿宋" w:eastAsia="仿宋" w:cs="仿宋"/>
          <w:sz w:val="32"/>
          <w:szCs w:val="32"/>
          <w:lang w:eastAsia="zh-CN"/>
        </w:rPr>
        <w:t>打造一支高素质的电商创业、电商服务人才队伍</w:t>
      </w:r>
      <w:r>
        <w:rPr>
          <w:rFonts w:hint="eastAsia" w:ascii="仿宋" w:hAnsi="仿宋" w:eastAsia="仿宋" w:cs="仿宋"/>
          <w:sz w:val="32"/>
          <w:szCs w:val="32"/>
        </w:rPr>
        <w:t>。</w:t>
      </w:r>
      <w:r>
        <w:rPr>
          <w:rFonts w:hint="eastAsia" w:ascii="仿宋" w:hAnsi="仿宋" w:eastAsia="仿宋" w:cs="仿宋"/>
          <w:sz w:val="32"/>
          <w:szCs w:val="32"/>
          <w:lang w:eastAsia="zh-CN"/>
        </w:rPr>
        <w:t>挖掘培养手工业者、传统艺人，传承发展传统工艺。</w:t>
      </w:r>
    </w:p>
    <w:p w14:paraId="5BD6EB09">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统筹</w:t>
      </w:r>
      <w:r>
        <w:rPr>
          <w:rFonts w:hint="eastAsia" w:ascii="仿宋" w:hAnsi="仿宋" w:eastAsia="仿宋" w:cs="仿宋"/>
          <w:b/>
          <w:bCs/>
          <w:sz w:val="32"/>
          <w:szCs w:val="32"/>
        </w:rPr>
        <w:t>培养农村牧区公共服务人才。</w:t>
      </w:r>
      <w:r>
        <w:rPr>
          <w:rFonts w:hint="eastAsia" w:ascii="仿宋" w:hAnsi="仿宋" w:eastAsia="仿宋" w:cs="仿宋"/>
          <w:sz w:val="32"/>
          <w:szCs w:val="32"/>
        </w:rPr>
        <w:t>加强教师</w:t>
      </w:r>
      <w:r>
        <w:rPr>
          <w:rFonts w:hint="eastAsia" w:ascii="仿宋" w:hAnsi="仿宋" w:eastAsia="仿宋" w:cs="仿宋"/>
          <w:sz w:val="32"/>
          <w:szCs w:val="32"/>
          <w:lang w:eastAsia="zh-CN"/>
        </w:rPr>
        <w:t>队伍建设，通过公开招聘、校园招聘、特岗招聘等方式，补充乡村教师队伍，加大骨干教师培养力度，健全乡村教师发展体系。加强</w:t>
      </w:r>
      <w:r>
        <w:rPr>
          <w:rFonts w:hint="eastAsia" w:ascii="仿宋" w:hAnsi="仿宋" w:eastAsia="仿宋" w:cs="仿宋"/>
          <w:sz w:val="32"/>
          <w:szCs w:val="32"/>
        </w:rPr>
        <w:t>卫生健康人才队伍建设，</w:t>
      </w:r>
      <w:r>
        <w:rPr>
          <w:rFonts w:hint="eastAsia" w:ascii="仿宋" w:hAnsi="仿宋" w:eastAsia="仿宋" w:cs="仿宋"/>
          <w:sz w:val="32"/>
          <w:szCs w:val="32"/>
          <w:lang w:eastAsia="zh-CN"/>
        </w:rPr>
        <w:t>深入实施全科医生特岗计划、农村牧区订单定向医学生免费培养和助理全科医生培训工作，优化岗位设置，强化待遇补助和继续教育，改善农村牧区卫生服务和治理水平</w:t>
      </w:r>
      <w:r>
        <w:rPr>
          <w:rFonts w:hint="eastAsia" w:ascii="仿宋" w:hAnsi="仿宋" w:eastAsia="仿宋" w:cs="仿宋"/>
          <w:sz w:val="32"/>
          <w:szCs w:val="32"/>
        </w:rPr>
        <w:t>。加强农村牧区文化旅游人才和规划建设人才队伍建设，</w:t>
      </w:r>
      <w:r>
        <w:rPr>
          <w:rFonts w:hint="eastAsia" w:ascii="仿宋" w:hAnsi="仿宋" w:eastAsia="仿宋" w:cs="仿宋"/>
          <w:sz w:val="32"/>
          <w:szCs w:val="32"/>
          <w:lang w:eastAsia="zh-CN"/>
        </w:rPr>
        <w:t>重点培养一批乡村文艺社团、创作团队、文化志愿者、非遗传承人和乡村旅游示范者，着力</w:t>
      </w:r>
      <w:r>
        <w:rPr>
          <w:rFonts w:hint="eastAsia" w:ascii="仿宋" w:hAnsi="仿宋" w:eastAsia="仿宋" w:cs="仿宋"/>
          <w:sz w:val="32"/>
          <w:szCs w:val="32"/>
        </w:rPr>
        <w:t>培育</w:t>
      </w:r>
      <w:r>
        <w:rPr>
          <w:rFonts w:hint="eastAsia" w:ascii="仿宋" w:hAnsi="仿宋" w:eastAsia="仿宋" w:cs="仿宋"/>
          <w:sz w:val="32"/>
          <w:szCs w:val="32"/>
          <w:lang w:eastAsia="zh-CN"/>
        </w:rPr>
        <w:t>一批</w:t>
      </w:r>
      <w:r>
        <w:rPr>
          <w:rFonts w:hint="eastAsia" w:ascii="仿宋" w:hAnsi="仿宋" w:eastAsia="仿宋" w:cs="仿宋"/>
          <w:sz w:val="32"/>
          <w:szCs w:val="32"/>
        </w:rPr>
        <w:t>修路工、水利员、改厕专家、农村牧区住房建设辅导员等专业人员。</w:t>
      </w:r>
    </w:p>
    <w:p w14:paraId="07ABC885">
      <w:pPr>
        <w:pageBreakBefore w:val="0"/>
        <w:widowControl w:val="0"/>
        <w:kinsoku/>
        <w:wordWrap/>
        <w:overflowPunct/>
        <w:topLinePunct w:val="0"/>
        <w:autoSpaceDE/>
        <w:autoSpaceDN/>
        <w:bidi w:val="0"/>
        <w:adjustRightInd/>
        <w:snapToGrid/>
        <w:spacing w:after="156" w:afterLines="50" w:line="600" w:lineRule="exact"/>
        <w:ind w:firstLine="643" w:firstLineChars="200"/>
        <w:textAlignment w:val="auto"/>
        <w:rPr>
          <w:rFonts w:ascii="仿宋" w:hAnsi="仿宋" w:eastAsia="仿宋" w:cstheme="minorBidi"/>
          <w:sz w:val="32"/>
          <w:szCs w:val="32"/>
        </w:rPr>
      </w:pPr>
      <w:r>
        <w:rPr>
          <w:rFonts w:hint="eastAsia" w:ascii="仿宋" w:hAnsi="仿宋" w:eastAsia="仿宋" w:cs="仿宋"/>
          <w:b/>
          <w:bCs/>
          <w:sz w:val="32"/>
          <w:szCs w:val="32"/>
        </w:rPr>
        <w:t>全面落实人才返乡留乡政策。</w:t>
      </w:r>
      <w:r>
        <w:rPr>
          <w:rFonts w:hint="eastAsia" w:ascii="仿宋" w:hAnsi="仿宋" w:eastAsia="仿宋" w:cs="仿宋"/>
          <w:sz w:val="32"/>
          <w:szCs w:val="32"/>
          <w:lang w:eastAsia="zh-CN"/>
        </w:rPr>
        <w:t>充分利用创业园（创业</w:t>
      </w:r>
      <w:r>
        <w:rPr>
          <w:rFonts w:hint="eastAsia" w:ascii="仿宋" w:hAnsi="仿宋" w:eastAsia="仿宋" w:cs="仿宋"/>
          <w:sz w:val="32"/>
          <w:szCs w:val="32"/>
        </w:rPr>
        <w:t>孵化</w:t>
      </w:r>
      <w:r>
        <w:rPr>
          <w:rFonts w:hint="eastAsia" w:ascii="仿宋" w:hAnsi="仿宋" w:eastAsia="仿宋" w:cs="仿宋"/>
          <w:sz w:val="32"/>
          <w:szCs w:val="32"/>
          <w:lang w:eastAsia="zh-CN"/>
        </w:rPr>
        <w:t>）</w:t>
      </w:r>
      <w:r>
        <w:rPr>
          <w:rFonts w:hint="eastAsia" w:ascii="仿宋" w:hAnsi="仿宋" w:eastAsia="仿宋" w:cs="仿宋"/>
          <w:sz w:val="32"/>
          <w:szCs w:val="32"/>
        </w:rPr>
        <w:t>基地，吸引农牧民工、大学生、退伍军</w:t>
      </w:r>
      <w:r>
        <w:rPr>
          <w:rFonts w:ascii="仿宋" w:hAnsi="仿宋" w:eastAsia="仿宋" w:cs="Times New Roman"/>
          <w:sz w:val="32"/>
          <w:szCs w:val="32"/>
        </w:rPr>
        <w:t>人和科技人员返乡下乡创业创新。加强对返乡入乡创新创业者培养，</w:t>
      </w:r>
      <w:r>
        <w:rPr>
          <w:rFonts w:hint="eastAsia" w:ascii="仿宋" w:hAnsi="仿宋" w:eastAsia="仿宋" w:cs="Times New Roman"/>
          <w:sz w:val="32"/>
          <w:szCs w:val="32"/>
          <w:lang w:eastAsia="zh-CN"/>
        </w:rPr>
        <w:t>强化</w:t>
      </w:r>
      <w:r>
        <w:rPr>
          <w:rFonts w:ascii="仿宋" w:hAnsi="仿宋" w:eastAsia="仿宋" w:cs="Times New Roman"/>
          <w:sz w:val="32"/>
          <w:szCs w:val="32"/>
        </w:rPr>
        <w:t>创业创新群体</w:t>
      </w:r>
      <w:r>
        <w:rPr>
          <w:rFonts w:hint="eastAsia" w:ascii="仿宋" w:hAnsi="仿宋" w:eastAsia="仿宋" w:cs="Times New Roman"/>
          <w:sz w:val="32"/>
          <w:szCs w:val="32"/>
          <w:lang w:eastAsia="zh-CN"/>
        </w:rPr>
        <w:t>的</w:t>
      </w:r>
      <w:r>
        <w:rPr>
          <w:rFonts w:ascii="仿宋" w:hAnsi="仿宋" w:eastAsia="仿宋" w:cs="Times New Roman"/>
          <w:sz w:val="32"/>
          <w:szCs w:val="32"/>
        </w:rPr>
        <w:t>技能培训，提升就业创业能力</w:t>
      </w:r>
      <w:r>
        <w:rPr>
          <w:rFonts w:hint="eastAsia" w:ascii="仿宋" w:hAnsi="仿宋" w:eastAsia="仿宋" w:cs="Times New Roman"/>
          <w:sz w:val="32"/>
          <w:szCs w:val="32"/>
        </w:rPr>
        <w:t>。</w:t>
      </w:r>
      <w:r>
        <w:rPr>
          <w:rFonts w:ascii="仿宋" w:hAnsi="仿宋" w:eastAsia="仿宋" w:cs="Times New Roman"/>
          <w:sz w:val="32"/>
          <w:szCs w:val="32"/>
        </w:rPr>
        <w:t>引导返乡下乡人员通过承包、租赁、参股、合作等多种形式，领办创办家庭农牧场、农牧民专业合作社、农牧业企业</w:t>
      </w:r>
      <w:r>
        <w:rPr>
          <w:rFonts w:hint="eastAsia" w:ascii="仿宋" w:hAnsi="仿宋" w:eastAsia="仿宋" w:cs="Times New Roman"/>
          <w:sz w:val="32"/>
          <w:szCs w:val="32"/>
          <w:lang w:eastAsia="zh-CN"/>
        </w:rPr>
        <w:t>和</w:t>
      </w:r>
      <w:r>
        <w:rPr>
          <w:rFonts w:ascii="仿宋" w:hAnsi="仿宋" w:eastAsia="仿宋" w:cs="Times New Roman"/>
          <w:sz w:val="32"/>
          <w:szCs w:val="32"/>
        </w:rPr>
        <w:t>农牧业生产性服务组织，丰富创业创新方式。依托现有各类综合服务信息平台、公益性农畜产品市场和园区（基地），为返乡下乡人员创业创新提供政策咨询、市场信息等公共服务，做好返乡下乡人</w:t>
      </w:r>
      <w:r>
        <w:rPr>
          <w:rFonts w:hint="eastAsia" w:ascii="仿宋" w:hAnsi="仿宋" w:eastAsia="仿宋" w:cs="仿宋"/>
          <w:sz w:val="32"/>
          <w:szCs w:val="32"/>
        </w:rPr>
        <w:t>员在土地草原流转、项目选择、科技推广等方面的指导和服务</w:t>
      </w:r>
      <w:r>
        <w:rPr>
          <w:rFonts w:hint="eastAsia" w:ascii="仿宋" w:hAnsi="仿宋" w:eastAsia="仿宋" w:cs="仿宋"/>
          <w:sz w:val="32"/>
          <w:szCs w:val="32"/>
          <w:lang w:eastAsia="zh-CN"/>
        </w:rPr>
        <w:t>保障工作</w:t>
      </w:r>
      <w:r>
        <w:rPr>
          <w:rFonts w:hint="eastAsia" w:ascii="仿宋" w:hAnsi="仿宋" w:eastAsia="仿宋" w:cs="仿宋"/>
          <w:sz w:val="32"/>
          <w:szCs w:val="32"/>
        </w:rPr>
        <w:t>。</w:t>
      </w:r>
      <w:bookmarkStart w:id="317" w:name="_Toc2424"/>
      <w:bookmarkStart w:id="318" w:name="_Toc10488"/>
      <w:bookmarkStart w:id="319" w:name="_Toc32722"/>
      <w:bookmarkStart w:id="320" w:name="_Toc18624"/>
    </w:p>
    <w:p w14:paraId="512DA6FA">
      <w:pPr>
        <w:pStyle w:val="4"/>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rPr>
          <w:rFonts w:ascii="Calibri Light" w:hAnsi="Calibri Light" w:cs="Times New Roman"/>
          <w:b w:val="0"/>
          <w:bCs w:val="0"/>
          <w:sz w:val="32"/>
          <w:szCs w:val="32"/>
        </w:rPr>
      </w:pPr>
      <w:r>
        <w:rPr>
          <w:rFonts w:hint="eastAsia" w:ascii="黑体" w:hAnsi="黑体" w:eastAsia="黑体" w:cs="黑体"/>
          <w:b w:val="0"/>
          <w:bCs w:val="0"/>
          <w:sz w:val="32"/>
          <w:szCs w:val="32"/>
        </w:rPr>
        <w:t>第五节 强化动植物疫病防控体系建设</w:t>
      </w:r>
    </w:p>
    <w:bookmarkEnd w:id="309"/>
    <w:bookmarkEnd w:id="310"/>
    <w:bookmarkEnd w:id="311"/>
    <w:bookmarkEnd w:id="312"/>
    <w:bookmarkEnd w:id="317"/>
    <w:bookmarkEnd w:id="318"/>
    <w:bookmarkEnd w:id="319"/>
    <w:bookmarkEnd w:id="320"/>
    <w:p w14:paraId="5EA7CA0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bookmarkStart w:id="321" w:name="_Toc59000578"/>
      <w:bookmarkStart w:id="322" w:name="_Toc58870205"/>
      <w:bookmarkStart w:id="323" w:name="_Toc27122"/>
      <w:r>
        <w:rPr>
          <w:rFonts w:hint="eastAsia" w:ascii="仿宋" w:hAnsi="仿宋" w:eastAsia="仿宋" w:cs="仿宋"/>
          <w:b/>
          <w:bCs/>
          <w:sz w:val="32"/>
          <w:szCs w:val="32"/>
        </w:rPr>
        <w:t>提升动物疫病综合防控能力。</w:t>
      </w:r>
      <w:r>
        <w:rPr>
          <w:rFonts w:hint="eastAsia" w:ascii="仿宋" w:hAnsi="仿宋" w:eastAsia="仿宋" w:cs="仿宋"/>
          <w:sz w:val="32"/>
          <w:szCs w:val="32"/>
        </w:rPr>
        <w:t>坚持“预防为主</w:t>
      </w:r>
      <w:r>
        <w:rPr>
          <w:rFonts w:hint="eastAsia" w:ascii="仿宋" w:hAnsi="仿宋" w:eastAsia="仿宋" w:cs="仿宋"/>
          <w:sz w:val="32"/>
          <w:szCs w:val="32"/>
          <w:lang w:eastAsia="zh-CN"/>
        </w:rPr>
        <w:t>，</w:t>
      </w:r>
      <w:r>
        <w:rPr>
          <w:rFonts w:hint="eastAsia" w:ascii="仿宋" w:hAnsi="仿宋" w:eastAsia="仿宋" w:cs="仿宋"/>
          <w:sz w:val="32"/>
          <w:szCs w:val="32"/>
        </w:rPr>
        <w:t>预防与控制、净化、消灭相结合”的方针，扎实开展春秋两季集中免疫工作，做好口蹄疫、高致病性禽流感、小反刍兽疫等重大动物疫病防控，</w:t>
      </w:r>
      <w:r>
        <w:rPr>
          <w:rFonts w:hint="eastAsia" w:ascii="仿宋" w:hAnsi="仿宋" w:eastAsia="仿宋" w:cs="仿宋"/>
          <w:sz w:val="32"/>
          <w:szCs w:val="32"/>
          <w:lang w:eastAsia="zh-CN"/>
        </w:rPr>
        <w:t>稳步</w:t>
      </w:r>
      <w:r>
        <w:rPr>
          <w:rFonts w:hint="eastAsia" w:ascii="仿宋" w:hAnsi="仿宋" w:eastAsia="仿宋" w:cs="仿宋"/>
          <w:sz w:val="32"/>
          <w:szCs w:val="32"/>
        </w:rPr>
        <w:t>推进落实“先打后补”等防疫政策。加大布鲁氏菌病</w:t>
      </w:r>
      <w:r>
        <w:rPr>
          <w:rFonts w:hint="eastAsia" w:ascii="仿宋" w:hAnsi="仿宋" w:eastAsia="仿宋" w:cs="仿宋"/>
          <w:sz w:val="32"/>
          <w:szCs w:val="32"/>
          <w:lang w:eastAsia="zh-CN"/>
        </w:rPr>
        <w:t>等</w:t>
      </w:r>
      <w:r>
        <w:rPr>
          <w:rFonts w:hint="eastAsia" w:ascii="仿宋" w:hAnsi="仿宋" w:eastAsia="仿宋" w:cs="仿宋"/>
          <w:sz w:val="32"/>
          <w:szCs w:val="32"/>
        </w:rPr>
        <w:t>人畜共患病防治力度，采取“免疫、监测、检疫、扑杀、无害化处理、消毒”等综合性防控措施，巩固和扩大防控成效。提升动物疫情应急</w:t>
      </w:r>
      <w:r>
        <w:rPr>
          <w:rFonts w:hint="eastAsia" w:ascii="仿宋" w:hAnsi="仿宋" w:eastAsia="仿宋" w:cs="仿宋"/>
          <w:sz w:val="32"/>
          <w:szCs w:val="32"/>
          <w:lang w:eastAsia="zh-CN"/>
        </w:rPr>
        <w:t>保障</w:t>
      </w:r>
      <w:r>
        <w:rPr>
          <w:rFonts w:hint="eastAsia" w:ascii="仿宋" w:hAnsi="仿宋" w:eastAsia="仿宋" w:cs="仿宋"/>
          <w:sz w:val="32"/>
          <w:szCs w:val="32"/>
        </w:rPr>
        <w:t>能力，加强监测和流调，提高预警预报能力，严防外来疫病的传入和发生，确保不发生区域性重大动物疫情。完善盟、旗、苏木乡镇三级兽医实验室建设工作，通过仪器设备购入、实验室改扩建将盟级实验室打造成覆盖周边的区域型兽医实验室。加强兽医机构队伍和能力建设，强化嘎查村防疫员管理和培训，进一步完善嘎查村级动物防疫员队伍管理责任制和绩效考核制度。</w:t>
      </w:r>
    </w:p>
    <w:bookmarkEnd w:id="321"/>
    <w:bookmarkEnd w:id="322"/>
    <w:bookmarkEnd w:id="323"/>
    <w:p w14:paraId="2BE8B663">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建设绿色植物保护体系。</w:t>
      </w:r>
      <w:r>
        <w:rPr>
          <w:rFonts w:hint="eastAsia" w:ascii="仿宋" w:hAnsi="仿宋" w:eastAsia="仿宋" w:cs="仿宋"/>
          <w:sz w:val="32"/>
          <w:szCs w:val="32"/>
        </w:rPr>
        <w:t>全面落实“预防为主</w:t>
      </w:r>
      <w:r>
        <w:rPr>
          <w:rFonts w:hint="eastAsia" w:ascii="仿宋" w:hAnsi="仿宋" w:eastAsia="仿宋" w:cs="仿宋"/>
          <w:sz w:val="32"/>
          <w:szCs w:val="32"/>
          <w:lang w:eastAsia="zh-CN"/>
        </w:rPr>
        <w:t>、</w:t>
      </w:r>
      <w:r>
        <w:rPr>
          <w:rFonts w:hint="eastAsia" w:ascii="仿宋" w:hAnsi="仿宋" w:eastAsia="仿宋" w:cs="仿宋"/>
          <w:sz w:val="32"/>
          <w:szCs w:val="32"/>
        </w:rPr>
        <w:t>综合防治”植保方针</w:t>
      </w:r>
      <w:r>
        <w:rPr>
          <w:rFonts w:hint="eastAsia" w:ascii="仿宋" w:hAnsi="仿宋" w:eastAsia="仿宋" w:cs="仿宋"/>
          <w:sz w:val="32"/>
          <w:szCs w:val="32"/>
          <w:lang w:eastAsia="zh-CN"/>
        </w:rPr>
        <w:t>和“</w:t>
      </w:r>
      <w:r>
        <w:rPr>
          <w:rFonts w:hint="eastAsia" w:ascii="仿宋" w:hAnsi="仿宋" w:eastAsia="仿宋" w:cs="仿宋"/>
          <w:sz w:val="32"/>
          <w:szCs w:val="32"/>
        </w:rPr>
        <w:t>科学植保、公共植保、绿色植保</w:t>
      </w:r>
      <w:r>
        <w:rPr>
          <w:rFonts w:hint="eastAsia" w:ascii="仿宋" w:hAnsi="仿宋" w:eastAsia="仿宋" w:cs="仿宋"/>
          <w:sz w:val="32"/>
          <w:szCs w:val="32"/>
          <w:lang w:eastAsia="zh-CN"/>
        </w:rPr>
        <w:t>”</w:t>
      </w:r>
      <w:r>
        <w:rPr>
          <w:rFonts w:hint="eastAsia" w:ascii="仿宋" w:hAnsi="仿宋" w:eastAsia="仿宋" w:cs="仿宋"/>
          <w:sz w:val="32"/>
          <w:szCs w:val="32"/>
        </w:rPr>
        <w:t>理念</w:t>
      </w:r>
      <w:r>
        <w:rPr>
          <w:rFonts w:hint="eastAsia" w:ascii="仿宋" w:hAnsi="仿宋" w:eastAsia="仿宋" w:cs="仿宋"/>
          <w:sz w:val="32"/>
          <w:szCs w:val="32"/>
          <w:lang w:eastAsia="zh-CN"/>
        </w:rPr>
        <w:t>，</w:t>
      </w:r>
      <w:r>
        <w:rPr>
          <w:rFonts w:hint="eastAsia" w:ascii="仿宋" w:hAnsi="仿宋" w:eastAsia="仿宋" w:cs="仿宋"/>
          <w:sz w:val="32"/>
          <w:szCs w:val="32"/>
        </w:rPr>
        <w:t>加强重大病虫害和区域性突发病虫</w:t>
      </w:r>
      <w:r>
        <w:rPr>
          <w:rFonts w:hint="eastAsia" w:ascii="仿宋" w:hAnsi="仿宋" w:eastAsia="仿宋" w:cs="仿宋"/>
          <w:sz w:val="32"/>
          <w:szCs w:val="32"/>
          <w:lang w:eastAsia="zh-CN"/>
        </w:rPr>
        <w:t>害</w:t>
      </w:r>
      <w:r>
        <w:rPr>
          <w:rFonts w:hint="eastAsia" w:ascii="仿宋" w:hAnsi="仿宋" w:eastAsia="仿宋" w:cs="仿宋"/>
          <w:sz w:val="32"/>
          <w:szCs w:val="32"/>
        </w:rPr>
        <w:t>的监测预警，实现调查观测规范化、数据传递网络化、预报信息可视化、监测管理制度化。加强对农药生产、经营企业及农药产品的质量监管，杜绝销售使用国家禁限用的高剧毒农药。推进病虫害专业化统防统治和绿色防控，降低、控制病虫害的危害损失。加大生物防治、物理防治、生态调控和安全用药等技术的推广力度，科学、合理、安全使用农药，确保农作物生产安全、农产品质量安全和农业生态环境安全。</w:t>
      </w:r>
    </w:p>
    <w:p w14:paraId="7FD310EF">
      <w:pPr>
        <w:pageBreakBefore w:val="0"/>
        <w:widowControl w:val="0"/>
        <w:kinsoku/>
        <w:wordWrap/>
        <w:overflowPunct/>
        <w:topLinePunct w:val="0"/>
        <w:autoSpaceDE/>
        <w:autoSpaceDN/>
        <w:bidi w:val="0"/>
        <w:adjustRightInd/>
        <w:snapToGrid/>
        <w:spacing w:after="156" w:afterLines="50" w:line="600" w:lineRule="exact"/>
        <w:ind w:firstLine="643" w:firstLineChars="200"/>
        <w:textAlignment w:val="auto"/>
        <w:rPr>
          <w:rFonts w:ascii="仿宋" w:hAnsi="仿宋" w:eastAsia="仿宋" w:cstheme="minorBidi"/>
          <w:sz w:val="32"/>
          <w:szCs w:val="32"/>
        </w:rPr>
      </w:pPr>
      <w:r>
        <w:rPr>
          <w:rFonts w:hint="eastAsia" w:ascii="仿宋" w:hAnsi="仿宋" w:eastAsia="仿宋" w:cs="仿宋"/>
          <w:b/>
          <w:bCs/>
          <w:sz w:val="32"/>
          <w:szCs w:val="32"/>
          <w:lang w:eastAsia="zh-CN"/>
        </w:rPr>
        <w:t>加强</w:t>
      </w:r>
      <w:r>
        <w:rPr>
          <w:rFonts w:hint="eastAsia" w:ascii="仿宋" w:hAnsi="仿宋" w:eastAsia="仿宋" w:cs="仿宋"/>
          <w:b/>
          <w:bCs/>
          <w:sz w:val="32"/>
          <w:szCs w:val="32"/>
        </w:rPr>
        <w:t>水生动物疫病防控。</w:t>
      </w:r>
      <w:r>
        <w:rPr>
          <w:rFonts w:hint="eastAsia" w:ascii="仿宋" w:hAnsi="仿宋" w:eastAsia="仿宋" w:cs="仿宋"/>
          <w:sz w:val="32"/>
          <w:szCs w:val="32"/>
        </w:rPr>
        <w:t>加快水生动物疫病防控体系建设，推</w:t>
      </w:r>
      <w:r>
        <w:rPr>
          <w:rFonts w:hint="eastAsia" w:ascii="仿宋" w:hAnsi="仿宋" w:eastAsia="仿宋" w:cs="仿宋"/>
          <w:sz w:val="32"/>
          <w:szCs w:val="32"/>
          <w:lang w:eastAsia="zh-CN"/>
        </w:rPr>
        <w:t>进</w:t>
      </w:r>
      <w:r>
        <w:rPr>
          <w:rFonts w:hint="eastAsia" w:ascii="仿宋" w:hAnsi="仿宋" w:eastAsia="仿宋" w:cs="仿宋"/>
          <w:sz w:val="32"/>
          <w:szCs w:val="32"/>
        </w:rPr>
        <w:t>水产苗种产地检疫工作，加大监督</w:t>
      </w:r>
      <w:r>
        <w:rPr>
          <w:rFonts w:ascii="仿宋" w:hAnsi="仿宋" w:eastAsia="仿宋" w:cstheme="minorBidi"/>
          <w:sz w:val="32"/>
          <w:szCs w:val="32"/>
        </w:rPr>
        <w:t>抽查力度，推动建立水产品质量安全可追溯制度，探索开展水产品质量安全风险评估。</w:t>
      </w:r>
      <w:r>
        <w:rPr>
          <w:rFonts w:hint="eastAsia" w:ascii="仿宋" w:hAnsi="仿宋" w:eastAsia="仿宋" w:cstheme="minorBidi"/>
          <w:sz w:val="32"/>
          <w:szCs w:val="32"/>
        </w:rPr>
        <w:t>实施水生动物防疫保障工程，</w:t>
      </w:r>
      <w:r>
        <w:rPr>
          <w:rFonts w:ascii="仿宋" w:hAnsi="仿宋" w:eastAsia="仿宋" w:cstheme="minorBidi"/>
          <w:sz w:val="32"/>
          <w:szCs w:val="32"/>
        </w:rPr>
        <w:t>加强建设重点旗县水生动物防疫基础设施，逐步完善水生动物疫病监控、水产苗种产地检疫等相关工作，推广鱼病防控远程诊断辅助系统</w:t>
      </w:r>
      <w:r>
        <w:rPr>
          <w:rFonts w:hint="eastAsia" w:ascii="仿宋" w:hAnsi="仿宋" w:eastAsia="仿宋" w:cstheme="minorBidi"/>
          <w:sz w:val="32"/>
          <w:szCs w:val="32"/>
          <w:lang w:eastAsia="zh-CN"/>
        </w:rPr>
        <w:t>应用</w:t>
      </w:r>
      <w:r>
        <w:rPr>
          <w:rFonts w:ascii="仿宋" w:hAnsi="仿宋" w:eastAsia="仿宋" w:cstheme="minorBidi"/>
          <w:sz w:val="32"/>
          <w:szCs w:val="32"/>
        </w:rPr>
        <w:t>。</w:t>
      </w:r>
    </w:p>
    <w:p w14:paraId="1E393971">
      <w:pPr>
        <w:pStyle w:val="4"/>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rPr>
          <w:rFonts w:ascii="Calibri Light" w:hAnsi="Calibri Light" w:cs="Times New Roman"/>
          <w:b w:val="0"/>
          <w:bCs w:val="0"/>
          <w:sz w:val="32"/>
          <w:szCs w:val="32"/>
        </w:rPr>
      </w:pPr>
      <w:bookmarkStart w:id="324" w:name="_Toc1151"/>
      <w:bookmarkStart w:id="325" w:name="_Toc18066"/>
      <w:bookmarkStart w:id="326" w:name="_Toc60561671"/>
      <w:bookmarkStart w:id="327" w:name="_Toc58870206"/>
      <w:bookmarkStart w:id="328" w:name="_Toc25465"/>
      <w:bookmarkStart w:id="329" w:name="_Toc5938"/>
      <w:bookmarkStart w:id="330" w:name="_Toc59000579"/>
      <w:bookmarkStart w:id="331" w:name="_Toc1139926503_WPSOffice_Level2"/>
      <w:r>
        <w:rPr>
          <w:rFonts w:hint="eastAsia" w:ascii="Calibri Light" w:hAnsi="Calibri Light" w:cs="Times New Roman"/>
          <w:b w:val="0"/>
          <w:bCs w:val="0"/>
          <w:sz w:val="32"/>
          <w:szCs w:val="32"/>
        </w:rPr>
        <w:t>第六节 健全农畜产品质量安全监管体系</w:t>
      </w:r>
      <w:bookmarkEnd w:id="324"/>
      <w:bookmarkEnd w:id="325"/>
      <w:bookmarkEnd w:id="326"/>
      <w:bookmarkEnd w:id="327"/>
      <w:bookmarkEnd w:id="328"/>
      <w:bookmarkEnd w:id="329"/>
      <w:bookmarkEnd w:id="330"/>
      <w:bookmarkEnd w:id="331"/>
    </w:p>
    <w:p w14:paraId="6FE4B15A">
      <w:pPr>
        <w:pageBreakBefore w:val="0"/>
        <w:widowControl w:val="0"/>
        <w:numPr>
          <w:ilvl w:val="255"/>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加强标准化体系建设。</w:t>
      </w:r>
      <w:r>
        <w:rPr>
          <w:rFonts w:hint="eastAsia" w:ascii="仿宋" w:hAnsi="仿宋" w:eastAsia="仿宋" w:cs="仿宋"/>
          <w:sz w:val="32"/>
          <w:szCs w:val="32"/>
        </w:rPr>
        <w:t>把推行农牧业生产标准化作为高质量发展的重要抓手和主要途径，坚持“无标建标、有标提标”，大力推广绿色高效生产技术标准，按标订单、对标生产，优化结构、提高品质、增加效益</w:t>
      </w:r>
      <w:r>
        <w:rPr>
          <w:rFonts w:hint="eastAsia" w:ascii="仿宋" w:hAnsi="仿宋" w:eastAsia="仿宋" w:cs="仿宋"/>
          <w:sz w:val="32"/>
          <w:szCs w:val="32"/>
          <w:lang w:eastAsia="zh-CN"/>
        </w:rPr>
        <w:t>。</w:t>
      </w:r>
      <w:r>
        <w:rPr>
          <w:rFonts w:hint="eastAsia" w:ascii="仿宋" w:hAnsi="仿宋" w:eastAsia="仿宋" w:cs="仿宋"/>
          <w:sz w:val="32"/>
          <w:szCs w:val="32"/>
        </w:rPr>
        <w:t>推行品种</w:t>
      </w:r>
      <w:r>
        <w:rPr>
          <w:rFonts w:hint="eastAsia" w:ascii="仿宋" w:hAnsi="仿宋" w:eastAsia="仿宋" w:cs="仿宋"/>
          <w:sz w:val="32"/>
          <w:szCs w:val="32"/>
          <w:lang w:eastAsia="zh-CN"/>
        </w:rPr>
        <w:t>繁育</w:t>
      </w:r>
      <w:r>
        <w:rPr>
          <w:rFonts w:hint="eastAsia" w:ascii="仿宋" w:hAnsi="仿宋" w:eastAsia="仿宋" w:cs="仿宋"/>
          <w:sz w:val="32"/>
          <w:szCs w:val="32"/>
        </w:rPr>
        <w:t>、棚舍</w:t>
      </w:r>
      <w:r>
        <w:rPr>
          <w:rFonts w:hint="eastAsia" w:ascii="仿宋" w:hAnsi="仿宋" w:eastAsia="仿宋" w:cs="仿宋"/>
          <w:sz w:val="32"/>
          <w:szCs w:val="32"/>
          <w:lang w:eastAsia="zh-CN"/>
        </w:rPr>
        <w:t>建设</w:t>
      </w:r>
      <w:r>
        <w:rPr>
          <w:rFonts w:hint="eastAsia" w:ascii="仿宋" w:hAnsi="仿宋" w:eastAsia="仿宋" w:cs="仿宋"/>
          <w:sz w:val="32"/>
          <w:szCs w:val="32"/>
        </w:rPr>
        <w:t>、饲料</w:t>
      </w:r>
      <w:r>
        <w:rPr>
          <w:rFonts w:hint="eastAsia" w:ascii="仿宋" w:hAnsi="仿宋" w:eastAsia="仿宋" w:cs="仿宋"/>
          <w:sz w:val="32"/>
          <w:szCs w:val="32"/>
          <w:lang w:eastAsia="zh-CN"/>
        </w:rPr>
        <w:t>生产</w:t>
      </w:r>
      <w:r>
        <w:rPr>
          <w:rFonts w:hint="eastAsia" w:ascii="仿宋" w:hAnsi="仿宋" w:eastAsia="仿宋" w:cs="仿宋"/>
          <w:sz w:val="32"/>
          <w:szCs w:val="32"/>
        </w:rPr>
        <w:t>、饲养管理、粪污处理、疫病防控、投入品使用等关键种养环节标准化</w:t>
      </w:r>
      <w:r>
        <w:rPr>
          <w:rFonts w:hint="eastAsia" w:ascii="仿宋" w:hAnsi="仿宋" w:eastAsia="仿宋" w:cs="仿宋"/>
          <w:sz w:val="32"/>
          <w:szCs w:val="32"/>
          <w:lang w:eastAsia="zh-CN"/>
        </w:rPr>
        <w:t>作业</w:t>
      </w:r>
      <w:r>
        <w:rPr>
          <w:rFonts w:hint="eastAsia" w:ascii="仿宋" w:hAnsi="仿宋" w:eastAsia="仿宋" w:cs="仿宋"/>
          <w:sz w:val="32"/>
          <w:szCs w:val="32"/>
        </w:rPr>
        <w:t>，建设标准化生产基地，建立结构合理的农牧业标准体系。加大农畜产品国家标准、地方标准和企业标准执行力度，支持肉牛、肉羊、马铃薯、蔬菜等产业生产标准化，不断改进生产方式，提升科学种养标准化水平。到2025年，全盟主要作物标准化生产技术覆盖率达到70%，畜牧业关键环节标准化技术覆盖率保持在50%以上。</w:t>
      </w:r>
    </w:p>
    <w:p w14:paraId="68BBD890">
      <w:pPr>
        <w:pageBreakBefore w:val="0"/>
        <w:widowControl w:val="0"/>
        <w:kinsoku/>
        <w:wordWrap/>
        <w:overflowPunct/>
        <w:topLinePunct w:val="0"/>
        <w:autoSpaceDE/>
        <w:autoSpaceDN/>
        <w:bidi w:val="0"/>
        <w:adjustRightInd/>
        <w:snapToGrid/>
        <w:spacing w:after="156" w:afterLines="50" w:line="600" w:lineRule="exact"/>
        <w:ind w:firstLine="643" w:firstLineChars="200"/>
        <w:textAlignment w:val="auto"/>
        <w:rPr>
          <w:rFonts w:ascii="仿宋" w:hAnsi="仿宋" w:eastAsia="仿宋" w:cstheme="minorBidi"/>
          <w:sz w:val="32"/>
          <w:szCs w:val="32"/>
        </w:rPr>
      </w:pPr>
      <w:r>
        <w:rPr>
          <w:rFonts w:hint="eastAsia" w:ascii="仿宋" w:hAnsi="仿宋" w:eastAsia="仿宋" w:cs="仿宋"/>
          <w:b/>
          <w:bCs/>
          <w:sz w:val="32"/>
          <w:szCs w:val="32"/>
        </w:rPr>
        <w:t>提升农畜产品质量安全监管能力。</w:t>
      </w:r>
      <w:r>
        <w:rPr>
          <w:rFonts w:hint="eastAsia" w:ascii="仿宋" w:hAnsi="仿宋" w:eastAsia="仿宋" w:cs="仿宋"/>
          <w:sz w:val="32"/>
          <w:szCs w:val="32"/>
        </w:rPr>
        <w:t>落</w:t>
      </w:r>
      <w:r>
        <w:rPr>
          <w:rFonts w:ascii="仿宋" w:hAnsi="仿宋" w:eastAsia="仿宋" w:cstheme="minorBidi"/>
          <w:sz w:val="32"/>
          <w:szCs w:val="32"/>
        </w:rPr>
        <w:t>实农畜产品质量安全责任，加强农畜产品准出和市场准入监管措施，全面</w:t>
      </w:r>
      <w:r>
        <w:rPr>
          <w:rFonts w:hint="eastAsia" w:ascii="仿宋" w:hAnsi="仿宋" w:eastAsia="仿宋" w:cstheme="minorBidi"/>
          <w:sz w:val="32"/>
          <w:szCs w:val="32"/>
        </w:rPr>
        <w:t>实行</w:t>
      </w:r>
      <w:r>
        <w:rPr>
          <w:rFonts w:ascii="仿宋" w:hAnsi="仿宋" w:eastAsia="仿宋" w:cstheme="minorBidi"/>
          <w:sz w:val="32"/>
          <w:szCs w:val="32"/>
        </w:rPr>
        <w:t>食用农畜产品承诺达标合格证制度，完善产地准出、市场准入衔接机制。</w:t>
      </w:r>
      <w:r>
        <w:rPr>
          <w:rFonts w:hint="eastAsia" w:ascii="仿宋" w:hAnsi="仿宋" w:eastAsia="仿宋" w:cstheme="minorBidi"/>
          <w:sz w:val="32"/>
          <w:szCs w:val="32"/>
        </w:rPr>
        <w:t>实施农畜产品质量安全监管能力提升工程，加强农畜产品质量安全监管、检测、执法体系建设和能力建设。落实农畜产品质量安全基层属地管理、网格化管理制度，推行农畜产品生产主体质量安全承诺制，</w:t>
      </w:r>
      <w:r>
        <w:rPr>
          <w:rFonts w:hint="eastAsia" w:ascii="仿宋" w:hAnsi="仿宋" w:eastAsia="仿宋" w:cstheme="minorBidi"/>
          <w:sz w:val="32"/>
          <w:szCs w:val="32"/>
          <w:lang w:eastAsia="zh-CN"/>
        </w:rPr>
        <w:t>提高</w:t>
      </w:r>
      <w:r>
        <w:rPr>
          <w:rFonts w:hint="eastAsia" w:ascii="仿宋" w:hAnsi="仿宋" w:eastAsia="仿宋" w:cstheme="minorBidi"/>
          <w:sz w:val="32"/>
          <w:szCs w:val="32"/>
        </w:rPr>
        <w:t>基层农畜产品质量安全公共服务能力。整合检测资源，建立盟级综合质检机构，完善现有通过“双认证”的旗县级农畜产品质检站</w:t>
      </w:r>
      <w:r>
        <w:rPr>
          <w:rFonts w:hint="eastAsia" w:ascii="仿宋" w:hAnsi="仿宋" w:eastAsia="仿宋" w:cstheme="minorBidi"/>
          <w:sz w:val="32"/>
          <w:szCs w:val="32"/>
          <w:lang w:eastAsia="zh-CN"/>
        </w:rPr>
        <w:t>建设</w:t>
      </w:r>
      <w:r>
        <w:rPr>
          <w:rFonts w:hint="eastAsia" w:ascii="仿宋" w:hAnsi="仿宋" w:eastAsia="仿宋" w:cstheme="minorBidi"/>
          <w:sz w:val="32"/>
          <w:szCs w:val="32"/>
        </w:rPr>
        <w:t>，进一步提高风险监测、风险评估、预警能力，强化检打联动，加大行政执法力度，严厉查处违法违规案件，确保农畜产品质量安全，维护农牧业生产经营秩序。持续开展农畜产品质量安全旗县创建活动，整体提升区域农畜产品质量安全水平。强化</w:t>
      </w:r>
      <w:r>
        <w:rPr>
          <w:rFonts w:ascii="仿宋" w:hAnsi="仿宋" w:eastAsia="仿宋" w:cstheme="minorBidi"/>
          <w:sz w:val="32"/>
          <w:szCs w:val="32"/>
        </w:rPr>
        <w:t>农畜产品质量安全专项整治、例行监测和监督抽查工作，开展特色农畜产品品质评鉴和风险评估，</w:t>
      </w:r>
      <w:r>
        <w:rPr>
          <w:rFonts w:hint="eastAsia" w:ascii="仿宋" w:hAnsi="仿宋" w:eastAsia="仿宋" w:cstheme="minorBidi"/>
          <w:sz w:val="32"/>
          <w:szCs w:val="32"/>
        </w:rPr>
        <w:t>全面做好</w:t>
      </w:r>
      <w:r>
        <w:rPr>
          <w:rFonts w:ascii="仿宋" w:hAnsi="仿宋" w:eastAsia="仿宋" w:cstheme="minorBidi"/>
          <w:sz w:val="32"/>
          <w:szCs w:val="32"/>
        </w:rPr>
        <w:t>农畜产品质量安全突发事件应急处置工作。到2025年，</w:t>
      </w:r>
      <w:r>
        <w:rPr>
          <w:rFonts w:hint="eastAsia" w:ascii="仿宋" w:hAnsi="仿宋" w:eastAsia="仿宋" w:cstheme="minorBidi"/>
          <w:sz w:val="32"/>
          <w:szCs w:val="32"/>
        </w:rPr>
        <w:t>农畜产品质量</w:t>
      </w:r>
      <w:r>
        <w:rPr>
          <w:rFonts w:hint="eastAsia" w:ascii="仿宋" w:hAnsi="仿宋" w:eastAsia="仿宋" w:cstheme="minorBidi"/>
          <w:sz w:val="32"/>
          <w:szCs w:val="32"/>
          <w:lang w:eastAsia="zh-CN"/>
        </w:rPr>
        <w:t>安全</w:t>
      </w:r>
      <w:r>
        <w:rPr>
          <w:rFonts w:hint="eastAsia" w:ascii="仿宋" w:hAnsi="仿宋" w:eastAsia="仿宋" w:cstheme="minorBidi"/>
          <w:sz w:val="32"/>
          <w:szCs w:val="32"/>
        </w:rPr>
        <w:t>监测合格率</w:t>
      </w:r>
      <w:r>
        <w:rPr>
          <w:rFonts w:ascii="仿宋" w:hAnsi="仿宋" w:eastAsia="仿宋" w:cstheme="minorBidi"/>
          <w:sz w:val="32"/>
          <w:szCs w:val="32"/>
        </w:rPr>
        <w:t>保持在98%以上。</w:t>
      </w:r>
    </w:p>
    <w:bookmarkEnd w:id="227"/>
    <w:bookmarkEnd w:id="228"/>
    <w:bookmarkEnd w:id="229"/>
    <w:p w14:paraId="17D7B604">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eastAsia="仿宋" w:cs="Times New Roman"/>
          <w:b w:val="0"/>
          <w:bCs w:val="0"/>
          <w:color w:val="000000" w:themeColor="text1"/>
          <w:sz w:val="32"/>
          <w:szCs w:val="32"/>
        </w:rPr>
      </w:pPr>
      <w:bookmarkStart w:id="332" w:name="_Toc10267"/>
      <w:bookmarkStart w:id="333" w:name="_Toc11366"/>
      <w:bookmarkStart w:id="334" w:name="_Toc12228"/>
      <w:bookmarkStart w:id="335" w:name="_Toc1296573012_WPSOffice_Level2"/>
      <w:bookmarkStart w:id="336" w:name="_Toc2910"/>
      <w:r>
        <w:rPr>
          <w:rFonts w:hint="eastAsia" w:ascii="Calibri Light" w:hAnsi="Calibri Light" w:cs="Times New Roman"/>
          <w:b w:val="0"/>
          <w:bCs w:val="0"/>
          <w:color w:val="000000" w:themeColor="text1"/>
          <w:sz w:val="32"/>
          <w:szCs w:val="32"/>
        </w:rPr>
        <w:t>第七节</w:t>
      </w:r>
      <w:r>
        <w:rPr>
          <w:rFonts w:ascii="Calibri Light" w:hAnsi="Calibri Light" w:cs="Times New Roman"/>
          <w:b w:val="0"/>
          <w:bCs w:val="0"/>
          <w:color w:val="000000" w:themeColor="text1"/>
          <w:sz w:val="32"/>
          <w:szCs w:val="32"/>
        </w:rPr>
        <w:t xml:space="preserve"> </w:t>
      </w:r>
      <w:r>
        <w:rPr>
          <w:rFonts w:hint="eastAsia" w:ascii="Calibri Light" w:hAnsi="Calibri Light" w:cs="Times New Roman"/>
          <w:b w:val="0"/>
          <w:bCs w:val="0"/>
          <w:color w:val="000000" w:themeColor="text1"/>
          <w:sz w:val="32"/>
          <w:szCs w:val="32"/>
        </w:rPr>
        <w:t>增强农牧业抗风险能力</w:t>
      </w:r>
      <w:bookmarkEnd w:id="332"/>
      <w:bookmarkEnd w:id="333"/>
      <w:bookmarkEnd w:id="334"/>
      <w:bookmarkEnd w:id="335"/>
      <w:bookmarkEnd w:id="336"/>
    </w:p>
    <w:p w14:paraId="3F0E58F7">
      <w:pPr>
        <w:pageBreakBefore w:val="0"/>
        <w:widowControl w:val="0"/>
        <w:kinsoku/>
        <w:wordWrap/>
        <w:overflowPunct/>
        <w:topLinePunct w:val="0"/>
        <w:autoSpaceDE/>
        <w:autoSpaceDN/>
        <w:bidi w:val="0"/>
        <w:adjustRightInd/>
        <w:snapToGrid/>
        <w:spacing w:after="156" w:afterLines="50" w:line="600" w:lineRule="exact"/>
        <w:ind w:firstLine="640" w:firstLineChars="200"/>
        <w:textAlignment w:val="auto"/>
        <w:rPr>
          <w:rFonts w:ascii="仿宋" w:hAnsi="仿宋" w:eastAsia="仿宋" w:cs="仿宋"/>
          <w:sz w:val="32"/>
          <w:szCs w:val="32"/>
        </w:rPr>
      </w:pPr>
      <w:r>
        <w:rPr>
          <w:rFonts w:hint="eastAsia" w:ascii="仿宋" w:hAnsi="仿宋" w:eastAsia="仿宋" w:cs="仿宋"/>
          <w:color w:val="000000" w:themeColor="text1"/>
          <w:sz w:val="32"/>
          <w:szCs w:val="32"/>
        </w:rPr>
        <w:t>完善农牧业保险政策体系，推动政策性保险扩面、增品、提标，降低农牧户生产经营风险。推</w:t>
      </w:r>
      <w:r>
        <w:rPr>
          <w:rFonts w:hint="eastAsia" w:ascii="仿宋" w:hAnsi="仿宋" w:eastAsia="仿宋" w:cs="仿宋"/>
          <w:sz w:val="32"/>
          <w:szCs w:val="32"/>
        </w:rPr>
        <w:t>进肉牛、肉羊养殖保险工作，建立健全农作物保险制度。全面开展农牧业大灾保险，鼓励开展天气指数保险、价格指数保险、贷款保证保险等</w:t>
      </w:r>
      <w:r>
        <w:rPr>
          <w:rFonts w:hint="eastAsia" w:ascii="仿宋" w:hAnsi="仿宋" w:eastAsia="仿宋" w:cs="仿宋"/>
          <w:sz w:val="32"/>
          <w:szCs w:val="32"/>
          <w:lang w:eastAsia="zh-CN"/>
        </w:rPr>
        <w:t>工作</w:t>
      </w:r>
      <w:r>
        <w:rPr>
          <w:rFonts w:hint="eastAsia" w:ascii="仿宋" w:hAnsi="仿宋" w:eastAsia="仿宋" w:cs="仿宋"/>
          <w:sz w:val="32"/>
          <w:szCs w:val="32"/>
        </w:rPr>
        <w:t>。引导保险机构到农村牧区设立基层服务网点，逐步实现保险机构旗县级全覆盖。加强灾害防御体系建设，健全自然灾害监测预警制度，完善灾害监测预报、快速评估、预警发布、应急处置和风险管控机制，全面提高农牧业抵御旱灾、洪灾、雪灾、火灾等自然灾害的综合防范能力。建立农牧业应急储备体系，建设救灾物资储备库，不断提升应急处置能力。指导开展农机、农药、兽药和渔业等农牧行业安全生产工作。</w:t>
      </w:r>
    </w:p>
    <w:tbl>
      <w:tblPr>
        <w:tblStyle w:val="26"/>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8522"/>
      </w:tblGrid>
      <w:tr w14:paraId="1C8AF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40" w:hRule="atLeast"/>
          <w:jc w:val="center"/>
        </w:trPr>
        <w:tc>
          <w:tcPr>
            <w:tcW w:w="8522" w:type="dxa"/>
            <w:tcBorders>
              <w:bottom w:val="single" w:color="auto" w:sz="4" w:space="0"/>
              <w:tl2br w:val="nil"/>
              <w:tr2bl w:val="nil"/>
            </w:tcBorders>
            <w:shd w:val="clear" w:color="auto" w:fill="FFFFFF" w:themeFill="background1"/>
            <w:vAlign w:val="center"/>
          </w:tcPr>
          <w:p w14:paraId="7837A96B">
            <w:pPr>
              <w:spacing w:line="500" w:lineRule="exact"/>
              <w:ind w:left="210" w:right="210"/>
              <w:jc w:val="center"/>
              <w:rPr>
                <w:rFonts w:ascii="Times New Roman" w:hAnsi="Times New Roman" w:eastAsia="楷体" w:cs="Times New Roman"/>
                <w:sz w:val="28"/>
                <w:szCs w:val="28"/>
              </w:rPr>
            </w:pPr>
            <w:r>
              <w:rPr>
                <w:rFonts w:hint="eastAsia" w:ascii="黑体" w:hAnsi="黑体" w:eastAsia="黑体" w:cs="黑体"/>
                <w:b w:val="0"/>
                <w:bCs w:val="0"/>
                <w:sz w:val="28"/>
                <w:szCs w:val="28"/>
              </w:rPr>
              <w:t>专栏4  统筹发展与安全工程</w:t>
            </w:r>
          </w:p>
        </w:tc>
      </w:tr>
      <w:tr w14:paraId="13E55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8522" w:type="dxa"/>
            <w:tcBorders>
              <w:top w:val="single" w:color="auto" w:sz="4" w:space="0"/>
              <w:bottom w:val="single" w:color="auto" w:sz="4" w:space="0"/>
              <w:tl2br w:val="nil"/>
              <w:tr2bl w:val="nil"/>
            </w:tcBorders>
            <w:shd w:val="clear" w:color="auto" w:fill="FFFFFF" w:themeFill="background1"/>
          </w:tcPr>
          <w:p w14:paraId="11DAB4E3">
            <w:pPr>
              <w:keepNext w:val="0"/>
              <w:keepLines w:val="0"/>
              <w:pageBreakBefore w:val="0"/>
              <w:widowControl/>
              <w:kinsoku/>
              <w:wordWrap/>
              <w:overflowPunct/>
              <w:topLinePunct w:val="0"/>
              <w:autoSpaceDE/>
              <w:autoSpaceDN/>
              <w:bidi w:val="0"/>
              <w:adjustRightInd/>
              <w:snapToGrid/>
              <w:spacing w:line="380" w:lineRule="exact"/>
              <w:ind w:left="210" w:right="210" w:firstLine="480" w:firstLineChars="200"/>
              <w:jc w:val="left"/>
              <w:textAlignment w:val="auto"/>
              <w:rPr>
                <w:rFonts w:ascii="仿宋" w:hAnsi="仿宋" w:eastAsia="仿宋" w:cs="仿宋"/>
                <w:sz w:val="24"/>
              </w:rPr>
            </w:pPr>
            <w:r>
              <w:rPr>
                <w:rFonts w:hint="eastAsia" w:ascii="黑体" w:hAnsi="黑体" w:eastAsia="黑体" w:cs="黑体"/>
                <w:sz w:val="24"/>
              </w:rPr>
              <w:t>1.高标准农田建设</w:t>
            </w:r>
            <w:r>
              <w:rPr>
                <w:rFonts w:hint="eastAsia" w:ascii="黑体" w:hAnsi="黑体" w:eastAsia="黑体" w:cs="黑体"/>
                <w:sz w:val="24"/>
                <w:lang w:eastAsia="zh-CN"/>
              </w:rPr>
              <w:t>。</w:t>
            </w:r>
            <w:r>
              <w:rPr>
                <w:rFonts w:ascii="仿宋" w:hAnsi="仿宋" w:eastAsia="仿宋" w:cs="仿宋"/>
                <w:sz w:val="24"/>
              </w:rPr>
              <w:t>重点聚焦永久基本农田、粮食生产功能区和粮食种植地区，实施高标准农田新建和改造提升工程，改善农业生产条件，提升粮食生产能力，推动农业现代化发展。</w:t>
            </w:r>
          </w:p>
          <w:p w14:paraId="2D5170FC">
            <w:pPr>
              <w:keepNext w:val="0"/>
              <w:keepLines w:val="0"/>
              <w:pageBreakBefore w:val="0"/>
              <w:widowControl/>
              <w:kinsoku/>
              <w:wordWrap/>
              <w:overflowPunct/>
              <w:topLinePunct w:val="0"/>
              <w:autoSpaceDE/>
              <w:autoSpaceDN/>
              <w:bidi w:val="0"/>
              <w:adjustRightInd/>
              <w:snapToGrid/>
              <w:spacing w:line="380" w:lineRule="exact"/>
              <w:ind w:left="210" w:right="210" w:firstLine="480" w:firstLineChars="200"/>
              <w:jc w:val="left"/>
              <w:textAlignment w:val="auto"/>
              <w:rPr>
                <w:rFonts w:hint="eastAsia" w:ascii="仿宋" w:hAnsi="仿宋" w:eastAsia="仿宋" w:cs="仿宋"/>
                <w:sz w:val="24"/>
              </w:rPr>
            </w:pPr>
            <w:r>
              <w:rPr>
                <w:rFonts w:hint="eastAsia" w:ascii="黑体" w:hAnsi="黑体" w:eastAsia="黑体" w:cs="黑体"/>
                <w:sz w:val="24"/>
                <w:lang w:val="en-US" w:eastAsia="zh-CN"/>
              </w:rPr>
              <w:t>2.农业高效节水。</w:t>
            </w:r>
            <w:r>
              <w:rPr>
                <w:rFonts w:hint="eastAsia" w:ascii="仿宋" w:hAnsi="仿宋" w:eastAsia="仿宋" w:cs="仿宋"/>
                <w:sz w:val="24"/>
              </w:rPr>
              <w:t>推广潜埋滴灌、膜下滴灌等技术措施，</w:t>
            </w:r>
            <w:r>
              <w:rPr>
                <w:rFonts w:hint="eastAsia" w:ascii="仿宋" w:hAnsi="仿宋" w:eastAsia="仿宋" w:cs="仿宋"/>
                <w:sz w:val="24"/>
                <w:lang w:eastAsia="zh-CN"/>
              </w:rPr>
              <w:t>支持</w:t>
            </w:r>
            <w:r>
              <w:rPr>
                <w:rFonts w:hint="eastAsia" w:ascii="仿宋" w:hAnsi="仿宋" w:eastAsia="仿宋" w:cs="仿宋"/>
                <w:sz w:val="24"/>
              </w:rPr>
              <w:t>高标准农田建设项目全面配套高效节水措施。到2025年，农田灌溉水有效利用系数</w:t>
            </w:r>
            <w:r>
              <w:rPr>
                <w:rFonts w:hint="eastAsia" w:ascii="仿宋" w:hAnsi="仿宋" w:eastAsia="仿宋" w:cs="仿宋"/>
                <w:sz w:val="24"/>
                <w:lang w:eastAsia="zh-CN"/>
              </w:rPr>
              <w:t>保持在</w:t>
            </w:r>
            <w:r>
              <w:rPr>
                <w:rFonts w:hint="eastAsia" w:ascii="仿宋" w:hAnsi="仿宋" w:eastAsia="仿宋" w:cs="仿宋"/>
                <w:sz w:val="24"/>
                <w:lang w:val="en-US" w:eastAsia="zh-CN"/>
              </w:rPr>
              <w:t>0.76以上</w:t>
            </w:r>
            <w:r>
              <w:rPr>
                <w:rFonts w:hint="eastAsia" w:ascii="仿宋" w:hAnsi="仿宋" w:eastAsia="仿宋" w:cs="仿宋"/>
                <w:sz w:val="24"/>
              </w:rPr>
              <w:t>。</w:t>
            </w:r>
          </w:p>
          <w:p w14:paraId="1EBF871C">
            <w:pPr>
              <w:pStyle w:val="2"/>
              <w:keepNext w:val="0"/>
              <w:keepLines w:val="0"/>
              <w:pageBreakBefore w:val="0"/>
              <w:kinsoku/>
              <w:wordWrap/>
              <w:overflowPunct/>
              <w:topLinePunct w:val="0"/>
              <w:autoSpaceDE/>
              <w:autoSpaceDN/>
              <w:bidi w:val="0"/>
              <w:adjustRightInd/>
              <w:snapToGrid/>
              <w:spacing w:line="380" w:lineRule="exact"/>
              <w:ind w:left="239" w:leftChars="114" w:firstLine="489" w:firstLineChars="204"/>
              <w:textAlignment w:val="auto"/>
              <w:rPr>
                <w:rFonts w:ascii="仿宋" w:hAnsi="仿宋" w:eastAsia="仿宋" w:cs="仿宋"/>
                <w:sz w:val="24"/>
              </w:rPr>
            </w:pPr>
            <w:r>
              <w:rPr>
                <w:rFonts w:hint="eastAsia" w:ascii="黑体" w:hAnsi="黑体" w:eastAsia="黑体" w:cs="黑体"/>
                <w:sz w:val="24"/>
                <w:lang w:val="en-US" w:eastAsia="zh-CN"/>
              </w:rPr>
              <w:t>3</w:t>
            </w:r>
            <w:r>
              <w:rPr>
                <w:rFonts w:hint="eastAsia" w:ascii="黑体" w:hAnsi="黑体" w:eastAsia="黑体" w:cs="黑体"/>
                <w:sz w:val="24"/>
              </w:rPr>
              <w:t>.种业振兴行动</w:t>
            </w:r>
            <w:r>
              <w:rPr>
                <w:rFonts w:hint="eastAsia" w:ascii="黑体" w:hAnsi="黑体" w:eastAsia="黑体" w:cs="黑体"/>
                <w:sz w:val="24"/>
                <w:lang w:eastAsia="zh-CN"/>
              </w:rPr>
              <w:t>。</w:t>
            </w:r>
            <w:r>
              <w:rPr>
                <w:rFonts w:hint="eastAsia" w:ascii="仿宋" w:hAnsi="仿宋" w:eastAsia="仿宋" w:cs="仿宋"/>
                <w:sz w:val="24"/>
              </w:rPr>
              <w:t>制定种业振兴方案，实施种质资源保护与利用项目，</w:t>
            </w:r>
            <w:r>
              <w:rPr>
                <w:rFonts w:ascii="仿宋" w:hAnsi="仿宋" w:eastAsia="仿宋" w:cs="仿宋"/>
                <w:sz w:val="24"/>
              </w:rPr>
              <w:t>以优质农牧业种源基地建设为核心，以优良地方家畜种质资源保护为重点，以提升</w:t>
            </w:r>
            <w:r>
              <w:rPr>
                <w:rFonts w:hint="eastAsia" w:ascii="仿宋" w:hAnsi="仿宋" w:eastAsia="仿宋" w:cs="仿宋"/>
                <w:sz w:val="24"/>
              </w:rPr>
              <w:t>肉羊、肉牛和马铃薯等核心</w:t>
            </w:r>
            <w:r>
              <w:rPr>
                <w:rFonts w:ascii="仿宋" w:hAnsi="仿宋" w:eastAsia="仿宋" w:cs="仿宋"/>
                <w:sz w:val="24"/>
              </w:rPr>
              <w:t>种源自给率、培育自主品种为目标，大力培育畜禽、农作物优良品种，支持繁育基地建设和育繁推企业发展。</w:t>
            </w:r>
          </w:p>
          <w:p w14:paraId="0E31BD5E">
            <w:pPr>
              <w:keepNext w:val="0"/>
              <w:keepLines w:val="0"/>
              <w:pageBreakBefore w:val="0"/>
              <w:widowControl/>
              <w:kinsoku/>
              <w:wordWrap/>
              <w:overflowPunct/>
              <w:topLinePunct w:val="0"/>
              <w:autoSpaceDE/>
              <w:autoSpaceDN/>
              <w:bidi w:val="0"/>
              <w:adjustRightInd/>
              <w:snapToGrid/>
              <w:spacing w:line="380" w:lineRule="exact"/>
              <w:ind w:left="210" w:right="210" w:firstLine="480" w:firstLineChars="200"/>
              <w:jc w:val="left"/>
              <w:textAlignment w:val="auto"/>
              <w:rPr>
                <w:rFonts w:ascii="仿宋" w:hAnsi="仿宋" w:eastAsia="仿宋" w:cs="仿宋"/>
                <w:sz w:val="24"/>
              </w:rPr>
            </w:pPr>
            <w:r>
              <w:rPr>
                <w:rFonts w:hint="eastAsia" w:ascii="黑体" w:hAnsi="黑体" w:eastAsia="黑体" w:cs="黑体"/>
                <w:bCs/>
                <w:sz w:val="24"/>
                <w:lang w:val="en-US" w:eastAsia="zh-CN"/>
              </w:rPr>
              <w:t>4</w:t>
            </w:r>
            <w:r>
              <w:rPr>
                <w:rFonts w:ascii="黑体" w:hAnsi="黑体" w:eastAsia="黑体" w:cs="黑体"/>
                <w:bCs/>
                <w:sz w:val="24"/>
              </w:rPr>
              <w:t>.</w:t>
            </w:r>
            <w:r>
              <w:rPr>
                <w:rFonts w:hint="eastAsia" w:ascii="黑体" w:hAnsi="黑体" w:eastAsia="黑体" w:cs="黑体"/>
                <w:bCs/>
                <w:sz w:val="24"/>
              </w:rPr>
              <w:t>农牧业科技支撑行动计划</w:t>
            </w:r>
            <w:r>
              <w:rPr>
                <w:rFonts w:hint="eastAsia" w:ascii="黑体" w:hAnsi="黑体" w:eastAsia="黑体" w:cs="黑体"/>
                <w:bCs/>
                <w:sz w:val="24"/>
                <w:lang w:eastAsia="zh-CN"/>
              </w:rPr>
              <w:t>。</w:t>
            </w:r>
            <w:r>
              <w:rPr>
                <w:rFonts w:hint="eastAsia" w:ascii="仿宋" w:hAnsi="仿宋" w:eastAsia="仿宋" w:cs="仿宋"/>
                <w:sz w:val="24"/>
              </w:rPr>
              <w:t>以科技特派员、现代农牧业科技成果转移转化平台等为重点，加快推动农牧业科技示范与应用。</w:t>
            </w:r>
          </w:p>
          <w:p w14:paraId="700C493B">
            <w:pPr>
              <w:keepNext w:val="0"/>
              <w:keepLines w:val="0"/>
              <w:pageBreakBefore w:val="0"/>
              <w:widowControl/>
              <w:kinsoku/>
              <w:wordWrap/>
              <w:overflowPunct/>
              <w:topLinePunct w:val="0"/>
              <w:autoSpaceDE/>
              <w:autoSpaceDN/>
              <w:bidi w:val="0"/>
              <w:adjustRightInd/>
              <w:snapToGrid/>
              <w:spacing w:line="380" w:lineRule="exact"/>
              <w:ind w:left="210" w:right="210" w:firstLine="480" w:firstLineChars="200"/>
              <w:jc w:val="left"/>
              <w:textAlignment w:val="auto"/>
              <w:rPr>
                <w:rFonts w:ascii="仿宋" w:hAnsi="仿宋" w:eastAsia="仿宋" w:cs="仿宋"/>
                <w:sz w:val="24"/>
              </w:rPr>
            </w:pPr>
            <w:r>
              <w:rPr>
                <w:rFonts w:hint="eastAsia" w:ascii="黑体" w:hAnsi="黑体" w:eastAsia="黑体" w:cs="黑体"/>
                <w:bCs/>
                <w:sz w:val="24"/>
                <w:lang w:val="en-US" w:eastAsia="zh-CN"/>
              </w:rPr>
              <w:t>5</w:t>
            </w:r>
            <w:r>
              <w:rPr>
                <w:rFonts w:ascii="黑体" w:hAnsi="黑体" w:eastAsia="黑体" w:cs="黑体"/>
                <w:bCs/>
                <w:sz w:val="24"/>
              </w:rPr>
              <w:t>.</w:t>
            </w:r>
            <w:r>
              <w:rPr>
                <w:rFonts w:hint="eastAsia" w:ascii="黑体" w:hAnsi="黑体" w:eastAsia="黑体" w:cs="黑体"/>
                <w:bCs/>
                <w:sz w:val="24"/>
              </w:rPr>
              <w:t>基层农技推广体系改革与建设</w:t>
            </w:r>
            <w:r>
              <w:rPr>
                <w:rFonts w:hint="eastAsia" w:ascii="黑体" w:hAnsi="黑体" w:eastAsia="黑体" w:cs="黑体"/>
                <w:bCs/>
                <w:sz w:val="24"/>
                <w:lang w:eastAsia="zh-CN"/>
              </w:rPr>
              <w:t>。</w:t>
            </w:r>
            <w:r>
              <w:rPr>
                <w:rFonts w:hint="eastAsia" w:ascii="仿宋" w:hAnsi="仿宋" w:eastAsia="仿宋" w:cs="仿宋"/>
                <w:sz w:val="24"/>
              </w:rPr>
              <w:t>实施基层农技推广体系改革与建设补助项目，壮大科技特派员和农技</w:t>
            </w:r>
            <w:r>
              <w:rPr>
                <w:rFonts w:hint="eastAsia" w:ascii="仿宋" w:hAnsi="仿宋" w:eastAsia="仿宋" w:cs="仿宋"/>
                <w:sz w:val="24"/>
                <w:lang w:eastAsia="zh-CN"/>
              </w:rPr>
              <w:t>人</w:t>
            </w:r>
            <w:r>
              <w:rPr>
                <w:rFonts w:hint="eastAsia" w:ascii="仿宋" w:hAnsi="仿宋" w:eastAsia="仿宋" w:cs="仿宋"/>
                <w:sz w:val="24"/>
              </w:rPr>
              <w:t>员队伍，培育农牧业科技服务</w:t>
            </w:r>
            <w:r>
              <w:rPr>
                <w:rFonts w:hint="eastAsia" w:ascii="仿宋" w:hAnsi="仿宋" w:eastAsia="仿宋" w:cs="仿宋"/>
                <w:sz w:val="24"/>
                <w:lang w:eastAsia="zh-CN"/>
              </w:rPr>
              <w:t>企业，</w:t>
            </w:r>
            <w:r>
              <w:rPr>
                <w:rFonts w:hint="eastAsia" w:ascii="仿宋" w:hAnsi="仿宋" w:eastAsia="仿宋" w:cs="仿宋"/>
                <w:sz w:val="24"/>
              </w:rPr>
              <w:t>打造区域农</w:t>
            </w:r>
            <w:r>
              <w:rPr>
                <w:rFonts w:hint="eastAsia" w:ascii="仿宋" w:hAnsi="仿宋" w:eastAsia="仿宋" w:cs="仿宋"/>
                <w:sz w:val="24"/>
                <w:lang w:eastAsia="zh-CN"/>
              </w:rPr>
              <w:t>牧</w:t>
            </w:r>
            <w:r>
              <w:rPr>
                <w:rFonts w:hint="eastAsia" w:ascii="仿宋" w:hAnsi="仿宋" w:eastAsia="仿宋" w:cs="仿宋"/>
                <w:sz w:val="24"/>
              </w:rPr>
              <w:t>业科技示范基地。</w:t>
            </w:r>
          </w:p>
          <w:p w14:paraId="1D15F9F9">
            <w:pPr>
              <w:pStyle w:val="2"/>
              <w:keepNext w:val="0"/>
              <w:keepLines w:val="0"/>
              <w:pageBreakBefore w:val="0"/>
              <w:kinsoku/>
              <w:wordWrap/>
              <w:overflowPunct/>
              <w:topLinePunct w:val="0"/>
              <w:autoSpaceDE/>
              <w:autoSpaceDN/>
              <w:bidi w:val="0"/>
              <w:adjustRightInd/>
              <w:snapToGrid/>
              <w:spacing w:line="380" w:lineRule="exact"/>
              <w:ind w:left="239" w:leftChars="114" w:firstLine="480" w:firstLineChars="200"/>
              <w:textAlignment w:val="auto"/>
              <w:rPr>
                <w:rFonts w:ascii="仿宋" w:hAnsi="仿宋" w:eastAsia="仿宋" w:cs="仿宋"/>
                <w:sz w:val="24"/>
              </w:rPr>
            </w:pPr>
            <w:r>
              <w:rPr>
                <w:rFonts w:hint="eastAsia" w:ascii="黑体" w:hAnsi="黑体" w:eastAsia="黑体" w:cs="黑体"/>
                <w:bCs/>
                <w:sz w:val="24"/>
                <w:lang w:val="en-US" w:eastAsia="zh-CN"/>
              </w:rPr>
              <w:t>6</w:t>
            </w:r>
            <w:r>
              <w:rPr>
                <w:rFonts w:ascii="黑体" w:hAnsi="黑体" w:eastAsia="黑体" w:cs="黑体"/>
                <w:bCs/>
                <w:sz w:val="24"/>
              </w:rPr>
              <w:t>.</w:t>
            </w:r>
            <w:r>
              <w:rPr>
                <w:rFonts w:hint="eastAsia" w:ascii="黑体" w:hAnsi="黑体" w:eastAsia="黑体" w:cs="黑体"/>
                <w:bCs/>
                <w:sz w:val="24"/>
              </w:rPr>
              <w:t>农牧业科技园区建设</w:t>
            </w:r>
            <w:r>
              <w:rPr>
                <w:rFonts w:hint="eastAsia" w:ascii="黑体" w:hAnsi="黑体" w:eastAsia="黑体" w:cs="黑体"/>
                <w:bCs/>
                <w:sz w:val="24"/>
                <w:lang w:eastAsia="zh-CN"/>
              </w:rPr>
              <w:t>。</w:t>
            </w:r>
            <w:r>
              <w:rPr>
                <w:rFonts w:hint="eastAsia" w:ascii="仿宋" w:hAnsi="仿宋" w:eastAsia="仿宋" w:cs="仿宋"/>
                <w:sz w:val="24"/>
              </w:rPr>
              <w:t>强化体制机制创新，完善管理制度，打造涉农涉牧企业孵化、科技服务、农牧民技能培训的载体和科技创新创业基地，切实发挥科技在农牧业现代化建设进程中的支撑引领作用。</w:t>
            </w:r>
          </w:p>
          <w:p w14:paraId="3D0952FD">
            <w:pPr>
              <w:keepNext w:val="0"/>
              <w:keepLines w:val="0"/>
              <w:pageBreakBefore w:val="0"/>
              <w:widowControl/>
              <w:kinsoku/>
              <w:wordWrap/>
              <w:overflowPunct/>
              <w:topLinePunct w:val="0"/>
              <w:autoSpaceDE/>
              <w:autoSpaceDN/>
              <w:bidi w:val="0"/>
              <w:adjustRightInd/>
              <w:snapToGrid/>
              <w:spacing w:line="380" w:lineRule="exact"/>
              <w:ind w:left="210" w:right="210" w:firstLine="480" w:firstLineChars="200"/>
              <w:jc w:val="left"/>
              <w:textAlignment w:val="auto"/>
              <w:rPr>
                <w:rFonts w:ascii="仿宋" w:hAnsi="仿宋" w:eastAsia="仿宋" w:cs="仿宋"/>
                <w:sz w:val="24"/>
              </w:rPr>
            </w:pPr>
            <w:r>
              <w:rPr>
                <w:rFonts w:hint="eastAsia" w:ascii="黑体" w:hAnsi="黑体" w:eastAsia="黑体" w:cs="黑体"/>
                <w:bCs/>
                <w:sz w:val="24"/>
                <w:lang w:val="en-US" w:eastAsia="zh-CN"/>
              </w:rPr>
              <w:t>7</w:t>
            </w:r>
            <w:r>
              <w:rPr>
                <w:rFonts w:ascii="黑体" w:hAnsi="黑体" w:eastAsia="黑体" w:cs="黑体"/>
                <w:bCs/>
                <w:sz w:val="24"/>
              </w:rPr>
              <w:t>.创业创新带头人培育</w:t>
            </w:r>
            <w:r>
              <w:rPr>
                <w:rFonts w:hint="eastAsia" w:ascii="黑体" w:hAnsi="黑体" w:eastAsia="黑体" w:cs="黑体"/>
                <w:bCs/>
                <w:sz w:val="24"/>
                <w:lang w:eastAsia="zh-CN"/>
              </w:rPr>
              <w:t>。</w:t>
            </w:r>
            <w:r>
              <w:rPr>
                <w:rFonts w:ascii="仿宋" w:hAnsi="仿宋" w:eastAsia="仿宋" w:cs="仿宋"/>
                <w:sz w:val="24"/>
              </w:rPr>
              <w:t>打造农村牧区</w:t>
            </w:r>
            <w:r>
              <w:rPr>
                <w:rFonts w:hint="eastAsia" w:ascii="仿宋" w:hAnsi="仿宋" w:eastAsia="仿宋" w:cs="仿宋"/>
                <w:sz w:val="24"/>
                <w:lang w:eastAsia="zh-CN"/>
              </w:rPr>
              <w:t>创业园（创业</w:t>
            </w:r>
            <w:r>
              <w:rPr>
                <w:rFonts w:ascii="仿宋" w:hAnsi="仿宋" w:eastAsia="仿宋" w:cs="仿宋"/>
                <w:sz w:val="24"/>
              </w:rPr>
              <w:t>孵化</w:t>
            </w:r>
            <w:r>
              <w:rPr>
                <w:rFonts w:hint="eastAsia" w:ascii="仿宋" w:hAnsi="仿宋" w:eastAsia="仿宋" w:cs="仿宋"/>
                <w:sz w:val="24"/>
                <w:lang w:eastAsia="zh-CN"/>
              </w:rPr>
              <w:t>）</w:t>
            </w:r>
            <w:r>
              <w:rPr>
                <w:rFonts w:ascii="仿宋" w:hAnsi="仿宋" w:eastAsia="仿宋" w:cs="仿宋"/>
                <w:sz w:val="24"/>
              </w:rPr>
              <w:t>基地，培育农村牧区创业创新带头人，带动返乡入乡人员创业就业</w:t>
            </w:r>
            <w:r>
              <w:rPr>
                <w:rFonts w:hint="eastAsia" w:ascii="仿宋" w:hAnsi="仿宋" w:eastAsia="仿宋" w:cs="仿宋"/>
                <w:sz w:val="24"/>
                <w:lang w:eastAsia="zh-CN"/>
              </w:rPr>
              <w:t>。到</w:t>
            </w:r>
            <w:r>
              <w:rPr>
                <w:rFonts w:hint="eastAsia" w:ascii="仿宋" w:hAnsi="仿宋" w:eastAsia="仿宋" w:cs="仿宋"/>
                <w:sz w:val="24"/>
                <w:lang w:val="en-US" w:eastAsia="zh-CN"/>
              </w:rPr>
              <w:t>2025年，</w:t>
            </w:r>
            <w:r>
              <w:rPr>
                <w:rFonts w:hint="eastAsia" w:ascii="仿宋" w:hAnsi="仿宋" w:eastAsia="仿宋" w:cs="仿宋"/>
                <w:sz w:val="24"/>
                <w:lang w:eastAsia="zh-CN"/>
              </w:rPr>
              <w:t>建设创业孵化基地</w:t>
            </w:r>
            <w:r>
              <w:rPr>
                <w:rFonts w:hint="eastAsia" w:ascii="仿宋" w:hAnsi="仿宋" w:eastAsia="仿宋" w:cs="仿宋"/>
                <w:sz w:val="24"/>
                <w:lang w:val="en-US" w:eastAsia="zh-CN"/>
              </w:rPr>
              <w:t>18个，</w:t>
            </w:r>
            <w:r>
              <w:rPr>
                <w:rFonts w:ascii="仿宋" w:hAnsi="仿宋" w:eastAsia="仿宋" w:cs="仿宋"/>
                <w:sz w:val="24"/>
              </w:rPr>
              <w:t>每年培训新型职业农牧民、农村牧区经济带头人、实用人才带头人不少于5000人。</w:t>
            </w:r>
          </w:p>
          <w:p w14:paraId="67960C6C">
            <w:pPr>
              <w:keepNext w:val="0"/>
              <w:keepLines w:val="0"/>
              <w:pageBreakBefore w:val="0"/>
              <w:widowControl/>
              <w:kinsoku/>
              <w:wordWrap/>
              <w:overflowPunct/>
              <w:topLinePunct w:val="0"/>
              <w:autoSpaceDE/>
              <w:autoSpaceDN/>
              <w:bidi w:val="0"/>
              <w:adjustRightInd/>
              <w:snapToGrid/>
              <w:spacing w:line="380" w:lineRule="exact"/>
              <w:ind w:left="210" w:right="210" w:firstLine="480" w:firstLineChars="200"/>
              <w:jc w:val="left"/>
              <w:textAlignment w:val="auto"/>
              <w:rPr>
                <w:rFonts w:ascii="仿宋" w:hAnsi="仿宋" w:eastAsia="仿宋" w:cs="仿宋"/>
                <w:sz w:val="24"/>
              </w:rPr>
            </w:pPr>
            <w:r>
              <w:rPr>
                <w:rFonts w:hint="eastAsia" w:ascii="黑体" w:hAnsi="黑体" w:eastAsia="黑体" w:cs="黑体"/>
                <w:bCs/>
                <w:sz w:val="24"/>
                <w:lang w:val="en-US" w:eastAsia="zh-CN"/>
              </w:rPr>
              <w:t>8</w:t>
            </w:r>
            <w:r>
              <w:rPr>
                <w:rFonts w:ascii="黑体" w:hAnsi="黑体" w:eastAsia="黑体" w:cs="黑体"/>
                <w:bCs/>
                <w:sz w:val="24"/>
              </w:rPr>
              <w:t>.</w:t>
            </w:r>
            <w:r>
              <w:rPr>
                <w:rFonts w:hint="eastAsia" w:ascii="黑体" w:hAnsi="黑体" w:eastAsia="黑体" w:cs="黑体"/>
                <w:bCs/>
                <w:sz w:val="24"/>
              </w:rPr>
              <w:t>高素质农牧民培育</w:t>
            </w:r>
            <w:r>
              <w:rPr>
                <w:rFonts w:hint="eastAsia" w:ascii="黑体" w:hAnsi="黑体" w:eastAsia="黑体" w:cs="黑体"/>
                <w:bCs/>
                <w:sz w:val="24"/>
                <w:lang w:eastAsia="zh-CN"/>
              </w:rPr>
              <w:t>。</w:t>
            </w:r>
            <w:r>
              <w:rPr>
                <w:rFonts w:ascii="仿宋" w:hAnsi="仿宋" w:eastAsia="仿宋" w:cs="仿宋"/>
                <w:sz w:val="24"/>
              </w:rPr>
              <w:t>以加快培养一支有文化、懂技术、善经营、会管理的高素质农牧民队伍为目标，通过就地培养、吸引提升等方式，分产业、分阶段对农牧民进行教育培训</w:t>
            </w:r>
            <w:r>
              <w:rPr>
                <w:rFonts w:hint="eastAsia" w:ascii="仿宋" w:hAnsi="仿宋" w:eastAsia="仿宋" w:cs="仿宋"/>
                <w:sz w:val="24"/>
              </w:rPr>
              <w:t>，</w:t>
            </w:r>
            <w:r>
              <w:rPr>
                <w:rFonts w:hint="eastAsia" w:ascii="仿宋" w:hAnsi="仿宋" w:eastAsia="仿宋" w:cs="仿宋"/>
                <w:sz w:val="24"/>
                <w:lang w:eastAsia="zh-CN"/>
              </w:rPr>
              <w:t>每年</w:t>
            </w:r>
            <w:r>
              <w:rPr>
                <w:rFonts w:ascii="仿宋" w:hAnsi="仿宋" w:eastAsia="仿宋" w:cs="仿宋"/>
                <w:sz w:val="24"/>
              </w:rPr>
              <w:t>培育高素质农牧民1500人。</w:t>
            </w:r>
          </w:p>
          <w:p w14:paraId="24B07618">
            <w:pPr>
              <w:pStyle w:val="2"/>
              <w:keepNext w:val="0"/>
              <w:keepLines w:val="0"/>
              <w:pageBreakBefore w:val="0"/>
              <w:kinsoku/>
              <w:wordWrap/>
              <w:overflowPunct/>
              <w:topLinePunct w:val="0"/>
              <w:autoSpaceDE/>
              <w:autoSpaceDN/>
              <w:bidi w:val="0"/>
              <w:adjustRightInd/>
              <w:snapToGrid/>
              <w:spacing w:line="380" w:lineRule="exact"/>
              <w:ind w:left="239" w:leftChars="114" w:firstLine="480" w:firstLineChars="200"/>
              <w:textAlignment w:val="auto"/>
              <w:rPr>
                <w:rFonts w:ascii="仿宋" w:hAnsi="仿宋" w:eastAsia="仿宋" w:cs="仿宋"/>
                <w:sz w:val="24"/>
              </w:rPr>
            </w:pPr>
            <w:r>
              <w:rPr>
                <w:rFonts w:hint="eastAsia" w:ascii="黑体" w:hAnsi="黑体" w:eastAsia="黑体" w:cs="黑体"/>
                <w:sz w:val="24"/>
                <w:lang w:val="en-US" w:eastAsia="zh-CN"/>
              </w:rPr>
              <w:t>9</w:t>
            </w:r>
            <w:r>
              <w:rPr>
                <w:rFonts w:hint="eastAsia" w:ascii="黑体" w:hAnsi="黑体" w:eastAsia="黑体" w:cs="黑体"/>
                <w:sz w:val="24"/>
              </w:rPr>
              <w:t>.农畜产品质量安全提升</w:t>
            </w:r>
            <w:r>
              <w:rPr>
                <w:rFonts w:hint="eastAsia" w:ascii="黑体" w:hAnsi="黑体" w:eastAsia="黑体" w:cs="黑体"/>
                <w:sz w:val="24"/>
                <w:lang w:eastAsia="zh-CN"/>
              </w:rPr>
              <w:t>。</w:t>
            </w:r>
            <w:r>
              <w:rPr>
                <w:rFonts w:ascii="仿宋" w:hAnsi="仿宋" w:eastAsia="仿宋" w:cs="仿宋"/>
                <w:sz w:val="24"/>
              </w:rPr>
              <w:t>压实地方属地管理责任和农畜产品生产主体责任，试行农畜产品合格证制度，支持苏木乡镇农畜产品质量安全监管站标准化建设，实现网格化管理。开展农畜产品质量安全风险监测，通过数据分析结果，为指导生产和监管提供技术支撑。</w:t>
            </w:r>
          </w:p>
          <w:p w14:paraId="6C8CF73F">
            <w:pPr>
              <w:pStyle w:val="2"/>
              <w:keepNext w:val="0"/>
              <w:keepLines w:val="0"/>
              <w:pageBreakBefore w:val="0"/>
              <w:kinsoku/>
              <w:wordWrap/>
              <w:overflowPunct/>
              <w:topLinePunct w:val="0"/>
              <w:autoSpaceDE/>
              <w:autoSpaceDN/>
              <w:bidi w:val="0"/>
              <w:adjustRightInd/>
              <w:snapToGrid/>
              <w:spacing w:line="380" w:lineRule="exact"/>
              <w:ind w:left="239" w:leftChars="114" w:firstLine="480" w:firstLineChars="200"/>
              <w:textAlignment w:val="auto"/>
            </w:pPr>
            <w:r>
              <w:rPr>
                <w:rFonts w:hint="eastAsia" w:ascii="黑体" w:hAnsi="黑体" w:eastAsia="黑体" w:cs="黑体"/>
                <w:sz w:val="24"/>
                <w:lang w:val="en-US" w:eastAsia="zh-CN"/>
              </w:rPr>
              <w:t>10</w:t>
            </w:r>
            <w:r>
              <w:rPr>
                <w:rFonts w:hint="eastAsia" w:ascii="黑体" w:hAnsi="黑体" w:eastAsia="黑体" w:cs="黑体"/>
                <w:sz w:val="24"/>
              </w:rPr>
              <w:t>.动物防疫和农作物病虫害防治</w:t>
            </w:r>
            <w:r>
              <w:rPr>
                <w:rFonts w:hint="eastAsia" w:ascii="黑体" w:hAnsi="黑体" w:eastAsia="黑体" w:cs="黑体"/>
                <w:sz w:val="24"/>
                <w:lang w:eastAsia="zh-CN"/>
              </w:rPr>
              <w:t>。</w:t>
            </w:r>
            <w:r>
              <w:rPr>
                <w:rFonts w:hint="eastAsia" w:ascii="仿宋" w:hAnsi="仿宋" w:eastAsia="仿宋" w:cs="仿宋"/>
                <w:sz w:val="24"/>
              </w:rPr>
              <w:t>加强动物疫病防控和植物病虫害防控基础设施建设，强化监测预警、应急处置及卫生监督执法，构建上下贯通、横向协调、运转高效、保障有力的动植物保护体系，不断提升全盟动物疫病和植物病虫害防控能力。</w:t>
            </w:r>
          </w:p>
        </w:tc>
      </w:tr>
    </w:tbl>
    <w:p w14:paraId="6E2C75B5">
      <w:pPr>
        <w:rPr>
          <w:rFonts w:hint="eastAsia"/>
        </w:rPr>
      </w:pPr>
      <w:bookmarkStart w:id="337" w:name="_Toc28656"/>
      <w:bookmarkStart w:id="338" w:name="_Toc7597"/>
      <w:bookmarkStart w:id="339" w:name="_Toc24961"/>
      <w:bookmarkStart w:id="340" w:name="_Toc29914"/>
    </w:p>
    <w:p w14:paraId="3C0C07AD">
      <w:pPr>
        <w:rPr>
          <w:rFonts w:hint="eastAsia"/>
        </w:rPr>
      </w:pPr>
    </w:p>
    <w:p w14:paraId="0B859EB8">
      <w:pPr>
        <w:pStyle w:val="2"/>
        <w:rPr>
          <w:rFonts w:hint="eastAsia"/>
        </w:rPr>
      </w:pPr>
    </w:p>
    <w:p w14:paraId="254F970E">
      <w:pPr>
        <w:rPr>
          <w:rFonts w:hint="eastAsia"/>
        </w:rPr>
      </w:pPr>
    </w:p>
    <w:p w14:paraId="555040C9">
      <w:pPr>
        <w:pStyle w:val="2"/>
        <w:rPr>
          <w:rFonts w:hint="eastAsia"/>
        </w:rPr>
      </w:pPr>
    </w:p>
    <w:p w14:paraId="5F2C58CC">
      <w:pPr>
        <w:rPr>
          <w:rFonts w:hint="eastAsia"/>
        </w:rPr>
      </w:pPr>
    </w:p>
    <w:p w14:paraId="6A0A9772">
      <w:pPr>
        <w:pStyle w:val="2"/>
        <w:rPr>
          <w:rFonts w:hint="eastAsia"/>
        </w:rPr>
      </w:pPr>
    </w:p>
    <w:p w14:paraId="3C3309FF">
      <w:pPr>
        <w:rPr>
          <w:rFonts w:hint="eastAsia"/>
        </w:rPr>
      </w:pPr>
    </w:p>
    <w:p w14:paraId="5F73C9EB">
      <w:pPr>
        <w:pStyle w:val="2"/>
        <w:rPr>
          <w:rFonts w:hint="eastAsia"/>
        </w:rPr>
      </w:pPr>
    </w:p>
    <w:p w14:paraId="0BB7B20F">
      <w:pPr>
        <w:rPr>
          <w:rFonts w:hint="eastAsia"/>
        </w:rPr>
      </w:pPr>
    </w:p>
    <w:p w14:paraId="53A278C3">
      <w:pPr>
        <w:pStyle w:val="2"/>
        <w:rPr>
          <w:rFonts w:hint="eastAsia"/>
        </w:rPr>
      </w:pPr>
    </w:p>
    <w:p w14:paraId="2F7B0588">
      <w:pPr>
        <w:rPr>
          <w:rFonts w:hint="eastAsia"/>
        </w:rPr>
      </w:pPr>
    </w:p>
    <w:p w14:paraId="16B51ADB">
      <w:pPr>
        <w:rPr>
          <w:rFonts w:hint="eastAsia"/>
        </w:rPr>
      </w:pPr>
    </w:p>
    <w:p w14:paraId="0AC5B590">
      <w:pPr>
        <w:rPr>
          <w:rFonts w:hint="eastAsia"/>
        </w:rPr>
      </w:pPr>
    </w:p>
    <w:p w14:paraId="0DB1E8BB">
      <w:pPr>
        <w:pStyle w:val="3"/>
        <w:snapToGrid w:val="0"/>
        <w:spacing w:before="312" w:beforeLines="100" w:after="312" w:afterLines="100" w:line="540" w:lineRule="exact"/>
        <w:jc w:val="center"/>
        <w:rPr>
          <w:rFonts w:hint="eastAsia" w:ascii="方正小标宋简体" w:hAnsi="仿宋" w:eastAsia="方正小标宋简体" w:cs="黑体"/>
          <w:b w:val="0"/>
          <w:color w:val="000000" w:themeColor="text1"/>
          <w:sz w:val="32"/>
          <w:szCs w:val="32"/>
        </w:rPr>
      </w:pPr>
    </w:p>
    <w:p w14:paraId="2748B5B1">
      <w:pPr>
        <w:pStyle w:val="3"/>
        <w:snapToGrid w:val="0"/>
        <w:spacing w:before="312" w:beforeLines="100" w:after="312" w:afterLines="100" w:line="540" w:lineRule="exact"/>
        <w:jc w:val="center"/>
        <w:rPr>
          <w:rFonts w:ascii="方正小标宋简体" w:hAnsi="仿宋" w:eastAsia="方正小标宋简体" w:cs="黑体"/>
          <w:b w:val="0"/>
          <w:color w:val="000000" w:themeColor="text1"/>
          <w:sz w:val="44"/>
          <w:szCs w:val="44"/>
        </w:rPr>
      </w:pPr>
      <w:bookmarkStart w:id="341" w:name="_Toc654771145_WPSOffice_Level1"/>
      <w:r>
        <w:rPr>
          <w:rFonts w:hint="eastAsia" w:ascii="方正小标宋简体" w:hAnsi="仿宋" w:eastAsia="方正小标宋简体" w:cs="黑体"/>
          <w:b w:val="0"/>
          <w:color w:val="000000" w:themeColor="text1"/>
          <w:sz w:val="44"/>
          <w:szCs w:val="44"/>
        </w:rPr>
        <w:t>第六章 实施乡村建设行动</w:t>
      </w:r>
      <w:bookmarkEnd w:id="337"/>
      <w:bookmarkEnd w:id="338"/>
      <w:bookmarkEnd w:id="339"/>
      <w:bookmarkEnd w:id="340"/>
      <w:bookmarkEnd w:id="341"/>
    </w:p>
    <w:p w14:paraId="1BB1A285">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theme="minorBidi"/>
          <w:sz w:val="32"/>
          <w:szCs w:val="32"/>
        </w:rPr>
      </w:pPr>
      <w:bookmarkStart w:id="342" w:name="_Toc59000533"/>
      <w:bookmarkStart w:id="343" w:name="_Toc58870125"/>
      <w:r>
        <w:rPr>
          <w:rFonts w:hint="eastAsia" w:ascii="仿宋" w:hAnsi="仿宋" w:eastAsia="仿宋" w:cstheme="minorBidi"/>
          <w:sz w:val="32"/>
          <w:szCs w:val="32"/>
        </w:rPr>
        <w:t>把乡村建设摆在社会主义现代化建设重要位置，以农村牧区宜居宜业为目标，补短板强弱项，把“硬件”建设好，把“软件”开发好，加强农村牧区基础设施建设，</w:t>
      </w:r>
      <w:r>
        <w:rPr>
          <w:rFonts w:hint="eastAsia" w:ascii="仿宋" w:hAnsi="仿宋" w:eastAsia="仿宋" w:cstheme="minorBidi"/>
          <w:sz w:val="32"/>
          <w:szCs w:val="32"/>
          <w:lang w:eastAsia="zh-CN"/>
        </w:rPr>
        <w:t>整治</w:t>
      </w:r>
      <w:r>
        <w:rPr>
          <w:rFonts w:hint="eastAsia" w:ascii="仿宋" w:hAnsi="仿宋" w:eastAsia="仿宋" w:cstheme="minorBidi"/>
          <w:sz w:val="32"/>
          <w:szCs w:val="32"/>
        </w:rPr>
        <w:t>提升农村牧区人居环境，</w:t>
      </w:r>
      <w:r>
        <w:rPr>
          <w:rFonts w:hint="eastAsia" w:ascii="仿宋" w:hAnsi="仿宋" w:eastAsia="仿宋" w:cstheme="minorBidi"/>
          <w:sz w:val="32"/>
          <w:szCs w:val="32"/>
          <w:lang w:eastAsia="zh-CN"/>
        </w:rPr>
        <w:t>推进</w:t>
      </w:r>
      <w:r>
        <w:rPr>
          <w:rFonts w:hint="eastAsia" w:ascii="仿宋" w:hAnsi="仿宋" w:eastAsia="仿宋" w:cstheme="minorBidi"/>
          <w:sz w:val="32"/>
          <w:szCs w:val="32"/>
        </w:rPr>
        <w:t>农村牧区生态文明建设，提高公共服务供给能力，加快推动农村牧区全面振兴。</w:t>
      </w:r>
    </w:p>
    <w:p w14:paraId="272D82D1">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2"/>
        </w:rPr>
      </w:pPr>
      <w:bookmarkStart w:id="344" w:name="_Toc1092903030_WPSOffice_Level2"/>
      <w:bookmarkStart w:id="345" w:name="_Toc3976"/>
      <w:bookmarkStart w:id="346" w:name="_Toc27746"/>
      <w:bookmarkStart w:id="347" w:name="_Toc5007"/>
      <w:bookmarkStart w:id="348" w:name="_Toc13077"/>
      <w:r>
        <w:rPr>
          <w:rFonts w:hint="eastAsia" w:ascii="Calibri Light" w:hAnsi="Calibri Light" w:cs="Times New Roman"/>
          <w:b w:val="0"/>
          <w:bCs w:val="0"/>
          <w:sz w:val="32"/>
          <w:szCs w:val="32"/>
        </w:rPr>
        <w:t>第一节 科学规划嘎查村建设</w:t>
      </w:r>
      <w:bookmarkEnd w:id="342"/>
      <w:bookmarkEnd w:id="343"/>
      <w:bookmarkEnd w:id="344"/>
      <w:bookmarkEnd w:id="345"/>
      <w:bookmarkEnd w:id="346"/>
      <w:bookmarkEnd w:id="347"/>
      <w:bookmarkEnd w:id="348"/>
    </w:p>
    <w:p w14:paraId="0E73BE14">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rPr>
      </w:pPr>
      <w:bookmarkStart w:id="349" w:name="_Toc57041399"/>
      <w:r>
        <w:rPr>
          <w:rFonts w:hint="eastAsia" w:ascii="仿宋" w:hAnsi="仿宋" w:eastAsia="仿宋" w:cstheme="minorBidi"/>
          <w:sz w:val="32"/>
          <w:szCs w:val="32"/>
        </w:rPr>
        <w:t>以村庄分类和村庄布局工作为前提，</w:t>
      </w:r>
      <w:r>
        <w:rPr>
          <w:rFonts w:ascii="仿宋" w:hAnsi="仿宋" w:eastAsia="仿宋" w:cstheme="minorBidi"/>
          <w:sz w:val="32"/>
          <w:szCs w:val="32"/>
        </w:rPr>
        <w:t>顺应村庄</w:t>
      </w:r>
      <w:r>
        <w:rPr>
          <w:rFonts w:hint="eastAsia" w:ascii="仿宋" w:hAnsi="仿宋" w:eastAsia="仿宋" w:cstheme="minorBidi"/>
          <w:sz w:val="32"/>
          <w:szCs w:val="32"/>
        </w:rPr>
        <w:t>发展规律和</w:t>
      </w:r>
      <w:r>
        <w:rPr>
          <w:rFonts w:ascii="仿宋" w:hAnsi="仿宋" w:eastAsia="仿宋" w:cstheme="minorBidi"/>
          <w:sz w:val="32"/>
          <w:szCs w:val="32"/>
        </w:rPr>
        <w:t>演变趋势，根据不同村</w:t>
      </w:r>
      <w:r>
        <w:rPr>
          <w:rFonts w:hint="eastAsia" w:ascii="仿宋" w:hAnsi="仿宋" w:eastAsia="仿宋" w:cstheme="minorBidi"/>
          <w:sz w:val="32"/>
          <w:szCs w:val="32"/>
        </w:rPr>
        <w:t>庄</w:t>
      </w:r>
      <w:r>
        <w:rPr>
          <w:rFonts w:ascii="仿宋" w:hAnsi="仿宋" w:eastAsia="仿宋" w:cstheme="minorBidi"/>
          <w:sz w:val="32"/>
          <w:szCs w:val="32"/>
        </w:rPr>
        <w:t>的发展现状、区位条件、资源禀赋</w:t>
      </w:r>
      <w:r>
        <w:rPr>
          <w:rFonts w:hint="eastAsia" w:ascii="仿宋" w:hAnsi="仿宋" w:eastAsia="仿宋" w:cstheme="minorBidi"/>
          <w:sz w:val="32"/>
          <w:szCs w:val="32"/>
          <w:lang w:eastAsia="zh-CN"/>
        </w:rPr>
        <w:t>和</w:t>
      </w:r>
      <w:r>
        <w:rPr>
          <w:rFonts w:ascii="仿宋" w:hAnsi="仿宋" w:eastAsia="仿宋" w:cstheme="minorBidi"/>
          <w:sz w:val="32"/>
          <w:szCs w:val="32"/>
        </w:rPr>
        <w:t>历史文化，</w:t>
      </w:r>
      <w:r>
        <w:rPr>
          <w:rFonts w:hint="eastAsia" w:ascii="仿宋" w:hAnsi="仿宋" w:eastAsia="仿宋" w:cstheme="minorBidi"/>
          <w:sz w:val="32"/>
          <w:szCs w:val="32"/>
        </w:rPr>
        <w:t>鼓励推行多规合一，在充分尊重农牧民意愿的基础上，分类推进村庄规划工作，严肃查处违规乱建行为。加强村庄风貌引导，保</w:t>
      </w:r>
      <w:r>
        <w:rPr>
          <w:rFonts w:hint="eastAsia" w:ascii="仿宋" w:hAnsi="仿宋" w:eastAsia="仿宋" w:cs="仿宋"/>
          <w:sz w:val="32"/>
          <w:szCs w:val="32"/>
        </w:rPr>
        <w:t>护传统村落、传统民居和历史文化名村名镇。</w:t>
      </w:r>
      <w:r>
        <w:rPr>
          <w:rFonts w:hint="eastAsia" w:ascii="仿宋" w:hAnsi="仿宋" w:eastAsia="仿宋" w:cs="仿宋"/>
          <w:color w:val="000000" w:themeColor="text1"/>
          <w:sz w:val="32"/>
          <w:szCs w:val="32"/>
        </w:rPr>
        <w:t>到2025年，实现嘎查村规划管理全覆盖。</w:t>
      </w:r>
    </w:p>
    <w:p w14:paraId="3F3098A0">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2"/>
        </w:rPr>
      </w:pPr>
      <w:bookmarkStart w:id="350" w:name="_Toc15024"/>
      <w:bookmarkStart w:id="351" w:name="_Toc58870126"/>
      <w:bookmarkStart w:id="352" w:name="_Toc32218"/>
      <w:bookmarkStart w:id="353" w:name="_Toc19878"/>
      <w:bookmarkStart w:id="354" w:name="_Toc1210452737_WPSOffice_Level2"/>
      <w:bookmarkStart w:id="355" w:name="_Toc2709"/>
      <w:bookmarkStart w:id="356" w:name="_Toc59000534"/>
      <w:r>
        <w:rPr>
          <w:rFonts w:hint="eastAsia" w:ascii="Calibri Light" w:hAnsi="Calibri Light" w:cs="Times New Roman"/>
          <w:b w:val="0"/>
          <w:bCs w:val="0"/>
          <w:sz w:val="32"/>
          <w:szCs w:val="32"/>
        </w:rPr>
        <w:t xml:space="preserve">第二节 </w:t>
      </w:r>
      <w:bookmarkEnd w:id="349"/>
      <w:r>
        <w:rPr>
          <w:rFonts w:hint="eastAsia" w:ascii="Calibri Light" w:hAnsi="Calibri Light" w:cs="Times New Roman"/>
          <w:b w:val="0"/>
          <w:bCs w:val="0"/>
          <w:sz w:val="32"/>
          <w:szCs w:val="32"/>
        </w:rPr>
        <w:t>加强农村牧区基础设施建设</w:t>
      </w:r>
      <w:bookmarkEnd w:id="350"/>
      <w:bookmarkEnd w:id="351"/>
      <w:bookmarkEnd w:id="352"/>
      <w:bookmarkEnd w:id="353"/>
      <w:bookmarkEnd w:id="354"/>
      <w:bookmarkEnd w:id="355"/>
      <w:bookmarkEnd w:id="356"/>
      <w:bookmarkStart w:id="357" w:name="_Toc57041400"/>
    </w:p>
    <w:p w14:paraId="5891658C">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保障农村牧区安全饮水供给。</w:t>
      </w:r>
      <w:r>
        <w:rPr>
          <w:rFonts w:hint="eastAsia" w:ascii="仿宋" w:hAnsi="仿宋" w:eastAsia="仿宋" w:cs="仿宋"/>
          <w:sz w:val="32"/>
          <w:szCs w:val="32"/>
          <w:lang w:eastAsia="zh-CN"/>
        </w:rPr>
        <w:t>通过</w:t>
      </w:r>
      <w:r>
        <w:rPr>
          <w:rFonts w:hint="eastAsia" w:ascii="仿宋" w:hAnsi="仿宋" w:eastAsia="仿宋" w:cs="仿宋"/>
          <w:sz w:val="32"/>
          <w:szCs w:val="32"/>
        </w:rPr>
        <w:t>新建或改造集中供水工程</w:t>
      </w:r>
      <w:r>
        <w:rPr>
          <w:rFonts w:hint="eastAsia" w:ascii="仿宋" w:hAnsi="仿宋" w:eastAsia="仿宋" w:cs="仿宋"/>
          <w:sz w:val="32"/>
          <w:szCs w:val="32"/>
          <w:lang w:eastAsia="zh-CN"/>
        </w:rPr>
        <w:t>、建设水源井和储水窖等方式，</w:t>
      </w:r>
      <w:r>
        <w:rPr>
          <w:rFonts w:hint="eastAsia" w:ascii="仿宋" w:hAnsi="仿宋" w:eastAsia="仿宋" w:cs="仿宋"/>
          <w:sz w:val="32"/>
          <w:szCs w:val="32"/>
        </w:rPr>
        <w:t>全力推进饮水安全工程，</w:t>
      </w:r>
      <w:r>
        <w:rPr>
          <w:rFonts w:hint="eastAsia" w:ascii="仿宋" w:hAnsi="仿宋" w:eastAsia="仿宋" w:cs="仿宋"/>
          <w:sz w:val="32"/>
          <w:szCs w:val="32"/>
          <w:lang w:eastAsia="zh-CN"/>
        </w:rPr>
        <w:t>巩固</w:t>
      </w:r>
      <w:r>
        <w:rPr>
          <w:rFonts w:hint="eastAsia" w:ascii="仿宋" w:hAnsi="仿宋" w:eastAsia="仿宋" w:cs="仿宋"/>
          <w:sz w:val="32"/>
          <w:szCs w:val="32"/>
        </w:rPr>
        <w:t>提升农村牧区供水保障水平，为农牧民提供节水、方便、舒适、安全、环保的用水服务，为嘎查村集体经济发展提供科学、优化的用水环境，</w:t>
      </w:r>
      <w:r>
        <w:rPr>
          <w:rFonts w:hint="eastAsia" w:ascii="仿宋" w:hAnsi="仿宋" w:eastAsia="仿宋" w:cs="仿宋"/>
          <w:sz w:val="32"/>
          <w:szCs w:val="32"/>
          <w:lang w:eastAsia="zh-CN"/>
        </w:rPr>
        <w:t>推进</w:t>
      </w:r>
      <w:r>
        <w:rPr>
          <w:rFonts w:hint="eastAsia" w:ascii="仿宋" w:hAnsi="仿宋" w:eastAsia="仿宋" w:cs="仿宋"/>
          <w:sz w:val="32"/>
          <w:szCs w:val="32"/>
        </w:rPr>
        <w:t>生产、生活、产业发展用水现代化。到2025年，解决全盟农村牧区3.92万人饮水安全保障和提升问题，自来水普及率达到42.5%。</w:t>
      </w:r>
    </w:p>
    <w:p w14:paraId="6FA4B5C3">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提升农牧民用电保障水平。</w:t>
      </w:r>
      <w:r>
        <w:rPr>
          <w:rFonts w:hint="eastAsia" w:ascii="仿宋" w:hAnsi="仿宋" w:eastAsia="仿宋" w:cs="仿宋"/>
          <w:sz w:val="32"/>
          <w:szCs w:val="32"/>
        </w:rPr>
        <w:t>完善站点布局，缩短供电半径，实现“用上电”向“用好电”转变。进一步加大农村牧区特别是边远地区电网升级改造力度，优化35千伏及以上变电站点布局，在达到电网安全运行和电能质量的前提下，促进常电网络系统不断向草原腹地深处推进，实施新能源转网电工程。积极引入技术成熟的风光互补企业，加大对不具备通网电地区新能源设备升级改造力度。到2025年，网电覆盖面进一步扩大</w:t>
      </w:r>
      <w:r>
        <w:rPr>
          <w:rFonts w:hint="eastAsia" w:ascii="仿宋" w:hAnsi="仿宋" w:eastAsia="仿宋" w:cs="仿宋"/>
          <w:sz w:val="32"/>
          <w:szCs w:val="32"/>
          <w:lang w:eastAsia="zh-CN"/>
        </w:rPr>
        <w:t>，</w:t>
      </w:r>
      <w:r>
        <w:rPr>
          <w:rFonts w:hint="eastAsia" w:ascii="仿宋" w:hAnsi="仿宋" w:eastAsia="仿宋" w:cs="仿宋"/>
          <w:sz w:val="32"/>
          <w:szCs w:val="32"/>
        </w:rPr>
        <w:t>农村牧区供电可靠性达到99.65%，综合电压合格率达到99.5%。</w:t>
      </w:r>
    </w:p>
    <w:bookmarkEnd w:id="357"/>
    <w:p w14:paraId="1B27C2A5">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FF0000"/>
          <w:sz w:val="32"/>
          <w:szCs w:val="32"/>
        </w:rPr>
      </w:pPr>
      <w:r>
        <w:rPr>
          <w:rFonts w:hint="eastAsia" w:ascii="仿宋" w:hAnsi="仿宋" w:eastAsia="仿宋" w:cs="仿宋"/>
          <w:b/>
          <w:bCs/>
          <w:sz w:val="32"/>
          <w:szCs w:val="32"/>
        </w:rPr>
        <w:t>完善配套交通基础设施。</w:t>
      </w:r>
      <w:r>
        <w:rPr>
          <w:rFonts w:hint="eastAsia" w:ascii="仿宋" w:hAnsi="仿宋" w:eastAsia="仿宋" w:cs="仿宋"/>
          <w:sz w:val="32"/>
          <w:szCs w:val="32"/>
        </w:rPr>
        <w:t>深入推进“四好农村路”建设</w:t>
      </w:r>
      <w:r>
        <w:rPr>
          <w:rFonts w:hint="eastAsia" w:ascii="仿宋" w:hAnsi="仿宋" w:eastAsia="仿宋" w:cs="仿宋"/>
          <w:sz w:val="32"/>
          <w:szCs w:val="32"/>
          <w:lang w:eastAsia="zh-CN"/>
        </w:rPr>
        <w:t>，</w:t>
      </w:r>
      <w:r>
        <w:rPr>
          <w:rFonts w:hint="eastAsia" w:ascii="仿宋" w:hAnsi="仿宋" w:eastAsia="仿宋" w:cs="仿宋"/>
          <w:sz w:val="32"/>
          <w:szCs w:val="32"/>
        </w:rPr>
        <w:t>结合乡村振兴示范嘎查建设</w:t>
      </w:r>
      <w:r>
        <w:rPr>
          <w:rFonts w:hint="eastAsia" w:ascii="仿宋" w:hAnsi="仿宋" w:eastAsia="仿宋" w:cs="仿宋"/>
          <w:sz w:val="32"/>
          <w:szCs w:val="32"/>
          <w:lang w:eastAsia="zh-CN"/>
        </w:rPr>
        <w:t>，</w:t>
      </w:r>
      <w:r>
        <w:rPr>
          <w:rFonts w:hint="eastAsia" w:ascii="仿宋" w:hAnsi="仿宋" w:eastAsia="仿宋" w:cs="仿宋"/>
          <w:sz w:val="32"/>
          <w:szCs w:val="32"/>
        </w:rPr>
        <w:t>加快补齐农村牧区公路建设短板</w:t>
      </w:r>
      <w:r>
        <w:rPr>
          <w:rFonts w:hint="eastAsia" w:ascii="仿宋" w:hAnsi="仿宋" w:eastAsia="仿宋" w:cs="仿宋"/>
          <w:sz w:val="32"/>
          <w:szCs w:val="32"/>
          <w:lang w:eastAsia="zh-CN"/>
        </w:rPr>
        <w:t>，</w:t>
      </w:r>
      <w:r>
        <w:rPr>
          <w:rFonts w:hint="eastAsia" w:ascii="仿宋" w:hAnsi="仿宋" w:eastAsia="仿宋" w:cs="仿宋"/>
          <w:sz w:val="32"/>
          <w:szCs w:val="32"/>
        </w:rPr>
        <w:t>推动农村牧区公路高质量发展</w:t>
      </w:r>
      <w:r>
        <w:rPr>
          <w:rFonts w:hint="eastAsia" w:ascii="仿宋" w:hAnsi="仿宋" w:eastAsia="仿宋" w:cs="仿宋"/>
          <w:sz w:val="32"/>
          <w:szCs w:val="32"/>
          <w:lang w:eastAsia="zh-CN"/>
        </w:rPr>
        <w:t>，</w:t>
      </w:r>
      <w:r>
        <w:rPr>
          <w:rFonts w:hint="eastAsia" w:ascii="仿宋" w:hAnsi="仿宋" w:eastAsia="仿宋" w:cs="仿宋"/>
          <w:sz w:val="32"/>
          <w:szCs w:val="32"/>
        </w:rPr>
        <w:t>重点实施较大人口规模自然村通硬化路</w:t>
      </w:r>
      <w:r>
        <w:rPr>
          <w:rFonts w:hint="eastAsia" w:ascii="仿宋" w:hAnsi="仿宋" w:eastAsia="仿宋" w:cs="仿宋"/>
          <w:sz w:val="32"/>
          <w:szCs w:val="32"/>
          <w:lang w:eastAsia="zh-CN"/>
        </w:rPr>
        <w:t>、</w:t>
      </w:r>
      <w:r>
        <w:rPr>
          <w:rFonts w:hint="eastAsia" w:ascii="仿宋" w:hAnsi="仿宋" w:eastAsia="仿宋" w:cs="仿宋"/>
          <w:sz w:val="32"/>
          <w:szCs w:val="32"/>
        </w:rPr>
        <w:t>苏木乡镇建制嘎查村公路提质升级改造</w:t>
      </w:r>
      <w:r>
        <w:rPr>
          <w:rFonts w:hint="eastAsia" w:ascii="仿宋" w:hAnsi="仿宋" w:eastAsia="仿宋" w:cs="仿宋"/>
          <w:sz w:val="32"/>
          <w:szCs w:val="32"/>
          <w:lang w:eastAsia="zh-CN"/>
        </w:rPr>
        <w:t>及</w:t>
      </w:r>
      <w:r>
        <w:rPr>
          <w:rFonts w:hint="eastAsia" w:ascii="仿宋" w:hAnsi="仿宋" w:eastAsia="仿宋" w:cs="仿宋"/>
          <w:sz w:val="32"/>
          <w:szCs w:val="32"/>
        </w:rPr>
        <w:t>旅游路</w:t>
      </w:r>
      <w:r>
        <w:rPr>
          <w:rFonts w:hint="eastAsia" w:ascii="仿宋" w:hAnsi="仿宋" w:eastAsia="仿宋" w:cs="仿宋"/>
          <w:sz w:val="32"/>
          <w:szCs w:val="32"/>
          <w:lang w:eastAsia="zh-CN"/>
        </w:rPr>
        <w:t>、</w:t>
      </w:r>
      <w:r>
        <w:rPr>
          <w:rFonts w:hint="eastAsia" w:ascii="仿宋" w:hAnsi="仿宋" w:eastAsia="仿宋" w:cs="仿宋"/>
          <w:sz w:val="32"/>
          <w:szCs w:val="32"/>
        </w:rPr>
        <w:t>资源路</w:t>
      </w:r>
      <w:r>
        <w:rPr>
          <w:rFonts w:hint="eastAsia" w:ascii="仿宋" w:hAnsi="仿宋" w:eastAsia="仿宋" w:cs="仿宋"/>
          <w:sz w:val="32"/>
          <w:szCs w:val="32"/>
          <w:lang w:eastAsia="zh-CN"/>
        </w:rPr>
        <w:t>、</w:t>
      </w:r>
      <w:r>
        <w:rPr>
          <w:rFonts w:hint="eastAsia" w:ascii="仿宋" w:hAnsi="仿宋" w:eastAsia="仿宋" w:cs="仿宋"/>
          <w:sz w:val="32"/>
          <w:szCs w:val="32"/>
        </w:rPr>
        <w:t>产业路和联网路等项目。完善农村牧区公路客运服务网络</w:t>
      </w:r>
      <w:r>
        <w:rPr>
          <w:rFonts w:hint="eastAsia" w:ascii="仿宋" w:hAnsi="仿宋" w:eastAsia="仿宋" w:cs="仿宋"/>
          <w:sz w:val="32"/>
          <w:szCs w:val="32"/>
          <w:lang w:eastAsia="zh-CN"/>
        </w:rPr>
        <w:t>，</w:t>
      </w:r>
      <w:r>
        <w:rPr>
          <w:rFonts w:hint="eastAsia" w:ascii="仿宋" w:hAnsi="仿宋" w:eastAsia="仿宋" w:cs="仿宋"/>
          <w:sz w:val="32"/>
          <w:szCs w:val="32"/>
        </w:rPr>
        <w:t>推动客运城乡一体化发展。加强农村牧区公路安全隐患治理</w:t>
      </w:r>
      <w:r>
        <w:rPr>
          <w:rFonts w:hint="eastAsia" w:ascii="仿宋" w:hAnsi="仿宋" w:eastAsia="仿宋" w:cs="仿宋"/>
          <w:sz w:val="32"/>
          <w:szCs w:val="32"/>
          <w:lang w:eastAsia="zh-CN"/>
        </w:rPr>
        <w:t>，</w:t>
      </w:r>
      <w:r>
        <w:rPr>
          <w:rFonts w:hint="eastAsia" w:ascii="仿宋" w:hAnsi="仿宋" w:eastAsia="仿宋" w:cs="仿宋"/>
          <w:sz w:val="32"/>
          <w:szCs w:val="32"/>
        </w:rPr>
        <w:t>提升公路安全应急保障能力。“十四五”期间，规划建设农村牧区公路</w:t>
      </w:r>
      <w:r>
        <w:rPr>
          <w:rFonts w:hint="eastAsia" w:ascii="仿宋" w:hAnsi="仿宋" w:eastAsia="仿宋" w:cs="仿宋"/>
          <w:sz w:val="32"/>
          <w:szCs w:val="32"/>
          <w:lang w:val="en-US" w:eastAsia="zh-CN"/>
        </w:rPr>
        <w:t>1800</w:t>
      </w:r>
      <w:r>
        <w:rPr>
          <w:rFonts w:hint="eastAsia" w:ascii="仿宋" w:hAnsi="仿宋" w:eastAsia="仿宋" w:cs="仿宋"/>
          <w:sz w:val="32"/>
          <w:szCs w:val="32"/>
        </w:rPr>
        <w:t>公里，到2025年</w:t>
      </w:r>
      <w:r>
        <w:rPr>
          <w:rFonts w:hint="eastAsia" w:ascii="仿宋" w:hAnsi="仿宋" w:eastAsia="仿宋" w:cs="仿宋"/>
          <w:sz w:val="32"/>
          <w:szCs w:val="32"/>
          <w:lang w:eastAsia="zh-CN"/>
        </w:rPr>
        <w:t>，</w:t>
      </w:r>
      <w:r>
        <w:rPr>
          <w:rFonts w:hint="eastAsia" w:ascii="仿宋" w:hAnsi="仿宋" w:eastAsia="仿宋" w:cs="仿宋"/>
          <w:sz w:val="32"/>
          <w:szCs w:val="32"/>
        </w:rPr>
        <w:t>全盟农村牧区公路总里程达到1.8万公里。</w:t>
      </w:r>
    </w:p>
    <w:p w14:paraId="56E3BAF2">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加快通讯基础设施建设。</w:t>
      </w:r>
      <w:r>
        <w:rPr>
          <w:rFonts w:hint="eastAsia" w:ascii="仿宋" w:hAnsi="仿宋" w:eastAsia="仿宋" w:cs="仿宋"/>
          <w:sz w:val="32"/>
          <w:szCs w:val="32"/>
        </w:rPr>
        <w:t>实施数字乡村战略</w:t>
      </w:r>
      <w:r>
        <w:rPr>
          <w:rFonts w:hint="eastAsia" w:ascii="仿宋" w:hAnsi="仿宋" w:eastAsia="仿宋" w:cs="仿宋"/>
          <w:sz w:val="32"/>
          <w:szCs w:val="32"/>
          <w:lang w:eastAsia="zh-CN"/>
        </w:rPr>
        <w:t>，</w:t>
      </w:r>
      <w:r>
        <w:rPr>
          <w:rFonts w:hint="eastAsia" w:ascii="仿宋" w:hAnsi="仿宋" w:eastAsia="仿宋" w:cs="仿宋"/>
          <w:sz w:val="32"/>
          <w:szCs w:val="32"/>
        </w:rPr>
        <w:t>推动4G网络向有条件的自然村覆盖，提升农村牧区移动和宽带网络供给质量。加快5G基础设施建设，利用网络提升草原畜牧业、旅游业的智能化水平。</w:t>
      </w:r>
      <w:r>
        <w:rPr>
          <w:rFonts w:hint="eastAsia" w:ascii="仿宋" w:hAnsi="仿宋" w:eastAsia="仿宋" w:cs="仿宋"/>
          <w:color w:val="000000" w:themeColor="text1"/>
          <w:sz w:val="32"/>
          <w:szCs w:val="32"/>
        </w:rPr>
        <w:t>统筹运用有线、无线等传输方式，推进“智慧广电”网络服务进村入户，运用无线交互方式实现对偏远牧区、边境地区的有效覆盖。推动农村牧区基础政务信息化应用，推广远程教育、远程医疗、金融网点进村等信息服务。到2025年，农村牧区4G、5G</w:t>
      </w:r>
      <w:r>
        <w:rPr>
          <w:rFonts w:hint="eastAsia" w:ascii="仿宋" w:hAnsi="仿宋" w:eastAsia="仿宋" w:cs="仿宋"/>
          <w:color w:val="000000" w:themeColor="text1"/>
          <w:sz w:val="32"/>
          <w:szCs w:val="32"/>
          <w:lang w:eastAsia="zh-CN"/>
        </w:rPr>
        <w:t>和</w:t>
      </w:r>
      <w:r>
        <w:rPr>
          <w:rFonts w:hint="eastAsia" w:ascii="仿宋" w:hAnsi="仿宋" w:eastAsia="仿宋" w:cs="仿宋"/>
          <w:color w:val="000000" w:themeColor="text1"/>
          <w:sz w:val="32"/>
          <w:szCs w:val="32"/>
        </w:rPr>
        <w:t>宽带</w:t>
      </w:r>
      <w:r>
        <w:rPr>
          <w:rFonts w:hint="eastAsia" w:ascii="仿宋" w:hAnsi="仿宋" w:eastAsia="仿宋" w:cs="仿宋"/>
          <w:color w:val="000000" w:themeColor="text1"/>
          <w:sz w:val="32"/>
          <w:szCs w:val="32"/>
          <w:lang w:eastAsia="zh-CN"/>
        </w:rPr>
        <w:t>网络</w:t>
      </w:r>
      <w:r>
        <w:rPr>
          <w:rFonts w:hint="eastAsia" w:ascii="仿宋" w:hAnsi="仿宋" w:eastAsia="仿宋" w:cs="仿宋"/>
          <w:color w:val="000000" w:themeColor="text1"/>
          <w:sz w:val="32"/>
          <w:szCs w:val="32"/>
        </w:rPr>
        <w:t>覆盖率</w:t>
      </w:r>
      <w:r>
        <w:rPr>
          <w:rFonts w:hint="eastAsia" w:ascii="仿宋" w:hAnsi="仿宋" w:eastAsia="仿宋" w:cs="仿宋"/>
          <w:color w:val="000000" w:themeColor="text1"/>
          <w:sz w:val="32"/>
          <w:szCs w:val="32"/>
          <w:lang w:eastAsia="zh-CN"/>
        </w:rPr>
        <w:t>分别</w:t>
      </w:r>
      <w:r>
        <w:rPr>
          <w:rFonts w:hint="eastAsia" w:ascii="仿宋" w:hAnsi="仿宋" w:eastAsia="仿宋" w:cs="仿宋"/>
          <w:color w:val="000000" w:themeColor="text1"/>
          <w:sz w:val="32"/>
          <w:szCs w:val="32"/>
        </w:rPr>
        <w:t>达到</w:t>
      </w:r>
      <w:r>
        <w:rPr>
          <w:rFonts w:hint="eastAsia" w:ascii="仿宋" w:hAnsi="仿宋" w:eastAsia="仿宋" w:cs="仿宋"/>
          <w:color w:val="000000" w:themeColor="text1"/>
          <w:sz w:val="32"/>
          <w:szCs w:val="32"/>
          <w:lang w:val="en-US" w:eastAsia="zh-CN"/>
        </w:rPr>
        <w:t>95%、92%和</w:t>
      </w:r>
      <w:r>
        <w:rPr>
          <w:rFonts w:hint="eastAsia" w:ascii="仿宋" w:hAnsi="仿宋" w:eastAsia="仿宋" w:cs="仿宋"/>
          <w:color w:val="000000" w:themeColor="text1"/>
          <w:sz w:val="32"/>
          <w:szCs w:val="32"/>
        </w:rPr>
        <w:t>98%</w:t>
      </w:r>
      <w:r>
        <w:rPr>
          <w:rFonts w:hint="eastAsia" w:ascii="仿宋" w:hAnsi="仿宋" w:eastAsia="仿宋" w:cs="仿宋"/>
          <w:color w:val="000000" w:themeColor="text1"/>
          <w:sz w:val="32"/>
          <w:szCs w:val="32"/>
          <w:lang w:eastAsia="zh-CN"/>
        </w:rPr>
        <w:t>以上</w:t>
      </w:r>
      <w:r>
        <w:rPr>
          <w:rFonts w:hint="eastAsia" w:ascii="仿宋" w:hAnsi="仿宋" w:eastAsia="仿宋" w:cs="仿宋"/>
          <w:color w:val="000000" w:themeColor="text1"/>
          <w:sz w:val="32"/>
          <w:szCs w:val="32"/>
        </w:rPr>
        <w:t>，苏木乡镇上网宽带达到千兆以上、嘎查村达到百兆以上，有线宽带难以覆盖的偏远地区，作为补充的无线宽带达到20兆以上。</w:t>
      </w:r>
    </w:p>
    <w:p w14:paraId="12DF9924">
      <w:pPr>
        <w:pStyle w:val="2"/>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FF0000"/>
          <w:sz w:val="32"/>
          <w:szCs w:val="32"/>
        </w:rPr>
      </w:pPr>
      <w:r>
        <w:rPr>
          <w:rFonts w:hint="eastAsia" w:ascii="仿宋" w:hAnsi="仿宋" w:eastAsia="仿宋" w:cs="仿宋"/>
          <w:b/>
          <w:bCs/>
          <w:sz w:val="32"/>
          <w:szCs w:val="32"/>
        </w:rPr>
        <w:t>加强物流基础设施建设。</w:t>
      </w:r>
      <w:r>
        <w:rPr>
          <w:rFonts w:hint="eastAsia" w:ascii="仿宋" w:hAnsi="仿宋" w:eastAsia="仿宋" w:cs="仿宋"/>
          <w:color w:val="000000" w:themeColor="text1"/>
          <w:sz w:val="32"/>
          <w:szCs w:val="32"/>
        </w:rPr>
        <w:t>完善旗县、苏木乡镇、嘎查村三级物流配送体系，补齐物流发展需要的基地、分拨、配送、冷链、仓储等基础设施短板。发展农村牧区物流网络体系，建设集客货运、邮政快递、电商于一体的</w:t>
      </w:r>
      <w:r>
        <w:rPr>
          <w:rFonts w:hint="eastAsia" w:ascii="仿宋" w:hAnsi="仿宋" w:eastAsia="仿宋" w:cs="仿宋"/>
          <w:color w:val="000000" w:themeColor="text1"/>
          <w:sz w:val="32"/>
          <w:szCs w:val="32"/>
          <w:lang w:eastAsia="zh-CN"/>
        </w:rPr>
        <w:t>苏木</w:t>
      </w:r>
      <w:r>
        <w:rPr>
          <w:rFonts w:hint="eastAsia" w:ascii="仿宋" w:hAnsi="仿宋" w:eastAsia="仿宋" w:cs="仿宋"/>
          <w:color w:val="000000" w:themeColor="text1"/>
          <w:sz w:val="32"/>
          <w:szCs w:val="32"/>
        </w:rPr>
        <w:t>乡镇综合运输服务站。改进提升农贸市场等传统流通网点现有设施设备，拓展</w:t>
      </w:r>
      <w:r>
        <w:rPr>
          <w:rFonts w:hint="eastAsia" w:ascii="仿宋" w:hAnsi="仿宋" w:eastAsia="仿宋" w:cs="仿宋"/>
          <w:color w:val="000000" w:themeColor="text1"/>
          <w:sz w:val="32"/>
          <w:szCs w:val="32"/>
          <w:lang w:eastAsia="zh-CN"/>
        </w:rPr>
        <w:t>运输、</w:t>
      </w:r>
      <w:r>
        <w:rPr>
          <w:rFonts w:hint="eastAsia" w:ascii="仿宋" w:hAnsi="仿宋" w:eastAsia="仿宋" w:cs="仿宋"/>
          <w:color w:val="000000" w:themeColor="text1"/>
          <w:sz w:val="32"/>
          <w:szCs w:val="32"/>
        </w:rPr>
        <w:t>配送等物流服务功能。支持农村牧区客货运场站网络建设和改造，建设面向农村牧区的共同配送中心，创新农村牧区客运和物流配送组织模式。积极发展短途物流和城乡配送，强化县域物流配送中心资源整合、集散中转、仓储配送等功能，推动商贸、快递与物流企业协同协作，着力满足农牧民生产生活消费需求。到</w:t>
      </w:r>
      <w:r>
        <w:rPr>
          <w:rFonts w:hint="eastAsia" w:ascii="仿宋" w:hAnsi="仿宋" w:eastAsia="仿宋" w:cs="仿宋"/>
          <w:sz w:val="32"/>
          <w:szCs w:val="32"/>
        </w:rPr>
        <w:t>2025年，通过建设</w:t>
      </w:r>
      <w:r>
        <w:rPr>
          <w:rFonts w:hint="eastAsia" w:ascii="仿宋" w:hAnsi="仿宋" w:eastAsia="仿宋" w:cs="仿宋"/>
          <w:sz w:val="32"/>
          <w:szCs w:val="32"/>
          <w:lang w:eastAsia="zh-CN"/>
        </w:rPr>
        <w:t>和</w:t>
      </w:r>
      <w:r>
        <w:rPr>
          <w:rFonts w:hint="eastAsia" w:ascii="仿宋" w:hAnsi="仿宋" w:eastAsia="仿宋" w:cs="仿宋"/>
          <w:sz w:val="32"/>
          <w:szCs w:val="32"/>
        </w:rPr>
        <w:t>改造升级一批集运输、仓储、配送、信息为一体的综合物流服务基地，</w:t>
      </w:r>
      <w:r>
        <w:rPr>
          <w:rFonts w:hint="eastAsia" w:ascii="仿宋" w:hAnsi="仿宋" w:eastAsia="仿宋" w:cs="仿宋"/>
          <w:sz w:val="32"/>
          <w:szCs w:val="32"/>
          <w:lang w:eastAsia="zh-CN"/>
        </w:rPr>
        <w:t>农村牧区</w:t>
      </w:r>
      <w:r>
        <w:rPr>
          <w:rFonts w:hint="eastAsia" w:ascii="仿宋" w:hAnsi="仿宋" w:eastAsia="仿宋" w:cs="仿宋"/>
          <w:sz w:val="32"/>
          <w:szCs w:val="32"/>
        </w:rPr>
        <w:t>物流服务体系进一步健全</w:t>
      </w:r>
      <w:r>
        <w:rPr>
          <w:rFonts w:hint="eastAsia" w:ascii="仿宋" w:hAnsi="仿宋" w:eastAsia="仿宋" w:cs="仿宋"/>
          <w:sz w:val="32"/>
          <w:szCs w:val="32"/>
          <w:lang w:eastAsia="zh-CN"/>
        </w:rPr>
        <w:t>、</w:t>
      </w:r>
      <w:r>
        <w:rPr>
          <w:rFonts w:hint="eastAsia" w:ascii="仿宋" w:hAnsi="仿宋" w:eastAsia="仿宋" w:cs="仿宋"/>
          <w:sz w:val="32"/>
          <w:szCs w:val="32"/>
        </w:rPr>
        <w:t>服务能力进一步提高。</w:t>
      </w:r>
    </w:p>
    <w:p w14:paraId="03969524">
      <w:pPr>
        <w:pStyle w:val="2"/>
        <w:pageBreakBefore w:val="0"/>
        <w:widowControl w:val="0"/>
        <w:kinsoku/>
        <w:wordWrap/>
        <w:overflowPunct/>
        <w:topLinePunct w:val="0"/>
        <w:autoSpaceDE/>
        <w:autoSpaceDN/>
        <w:bidi w:val="0"/>
        <w:adjustRightInd/>
        <w:snapToGrid/>
        <w:spacing w:after="156" w:afterLines="50" w:line="600" w:lineRule="exact"/>
        <w:ind w:firstLine="643" w:firstLineChars="200"/>
        <w:textAlignment w:val="auto"/>
        <w:rPr>
          <w:rFonts w:ascii="仿宋" w:hAnsi="仿宋" w:eastAsia="仿宋" w:cstheme="minorBidi"/>
          <w:sz w:val="32"/>
          <w:szCs w:val="32"/>
        </w:rPr>
      </w:pPr>
      <w:r>
        <w:rPr>
          <w:rFonts w:hint="eastAsia" w:ascii="仿宋" w:hAnsi="仿宋" w:eastAsia="仿宋" w:cs="仿宋"/>
          <w:b/>
          <w:bCs/>
          <w:sz w:val="32"/>
          <w:szCs w:val="32"/>
        </w:rPr>
        <w:t>加快数字农村牧区建设。</w:t>
      </w:r>
      <w:r>
        <w:rPr>
          <w:rFonts w:hint="eastAsia" w:ascii="仿宋" w:hAnsi="仿宋" w:eastAsia="仿宋" w:cs="仿宋"/>
          <w:color w:val="000000" w:themeColor="text1"/>
          <w:sz w:val="32"/>
          <w:szCs w:val="32"/>
        </w:rPr>
        <w:t>提升农村</w:t>
      </w:r>
      <w:r>
        <w:rPr>
          <w:rFonts w:hint="eastAsia" w:ascii="仿宋" w:hAnsi="仿宋" w:eastAsia="仿宋" w:cstheme="minorBidi"/>
          <w:color w:val="000000" w:themeColor="text1"/>
          <w:sz w:val="32"/>
          <w:szCs w:val="32"/>
        </w:rPr>
        <w:t>牧区数字化服务水平，统筹推进大数据、云计算等技术在政务服务、生态保护以及公共安全监管等领域的应用，打造“一站式”综合便民服务体系。推进</w:t>
      </w:r>
      <w:r>
        <w:rPr>
          <w:rFonts w:hint="eastAsia" w:ascii="仿宋" w:hAnsi="仿宋" w:eastAsia="仿宋" w:cstheme="minorBidi"/>
          <w:color w:val="000000" w:themeColor="text1"/>
          <w:sz w:val="32"/>
          <w:szCs w:val="32"/>
          <w:lang w:eastAsia="zh-CN"/>
        </w:rPr>
        <w:t>数字乡村建设</w:t>
      </w:r>
      <w:r>
        <w:rPr>
          <w:rFonts w:hint="eastAsia" w:ascii="仿宋" w:hAnsi="仿宋" w:eastAsia="仿宋" w:cstheme="minorBidi"/>
          <w:color w:val="000000" w:themeColor="text1"/>
          <w:sz w:val="32"/>
          <w:szCs w:val="32"/>
        </w:rPr>
        <w:t>，提</w:t>
      </w:r>
      <w:r>
        <w:rPr>
          <w:rFonts w:hint="eastAsia" w:ascii="仿宋" w:hAnsi="仿宋" w:eastAsia="仿宋" w:cstheme="minorBidi"/>
          <w:color w:val="000000" w:themeColor="text1"/>
          <w:sz w:val="32"/>
          <w:szCs w:val="32"/>
          <w:lang w:eastAsia="zh-CN"/>
        </w:rPr>
        <w:t>高</w:t>
      </w:r>
      <w:r>
        <w:rPr>
          <w:rFonts w:hint="eastAsia" w:ascii="仿宋" w:hAnsi="仿宋" w:eastAsia="仿宋" w:cstheme="minorBidi"/>
          <w:color w:val="000000" w:themeColor="text1"/>
          <w:sz w:val="32"/>
          <w:szCs w:val="32"/>
        </w:rPr>
        <w:t>“三农三牧”信息服务能力。提升农村牧区数字化管理水平，完善农村牧区网格化管理。</w:t>
      </w:r>
      <w:r>
        <w:rPr>
          <w:rFonts w:hint="eastAsia" w:ascii="仿宋" w:hAnsi="仿宋" w:eastAsia="仿宋" w:cstheme="minorBidi"/>
          <w:sz w:val="32"/>
          <w:szCs w:val="32"/>
        </w:rPr>
        <w:t>到2025年，农村牧区数字化管理服务水平明显提升，数字</w:t>
      </w:r>
      <w:r>
        <w:rPr>
          <w:rFonts w:hint="eastAsia" w:ascii="仿宋" w:hAnsi="仿宋" w:eastAsia="仿宋" w:cstheme="minorBidi"/>
          <w:sz w:val="32"/>
          <w:szCs w:val="32"/>
          <w:lang w:eastAsia="zh-CN"/>
        </w:rPr>
        <w:t>化发展</w:t>
      </w:r>
      <w:r>
        <w:rPr>
          <w:rFonts w:hint="eastAsia" w:ascii="仿宋" w:hAnsi="仿宋" w:eastAsia="仿宋" w:cstheme="minorBidi"/>
          <w:sz w:val="32"/>
          <w:szCs w:val="32"/>
        </w:rPr>
        <w:t>治理体系日趋完善。</w:t>
      </w:r>
    </w:p>
    <w:p w14:paraId="4D25BAAF">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2"/>
        </w:rPr>
      </w:pPr>
      <w:bookmarkStart w:id="358" w:name="_Toc28347"/>
      <w:bookmarkStart w:id="359" w:name="_Toc58870135"/>
      <w:bookmarkStart w:id="360" w:name="_Toc761344192_WPSOffice_Level2"/>
      <w:bookmarkStart w:id="361" w:name="_Toc32536"/>
      <w:bookmarkStart w:id="362" w:name="_Toc14284"/>
      <w:bookmarkStart w:id="363" w:name="_Toc15707"/>
      <w:bookmarkStart w:id="364" w:name="_Toc676"/>
      <w:bookmarkStart w:id="365" w:name="_Toc17218"/>
      <w:bookmarkStart w:id="366" w:name="_Toc59000537"/>
      <w:bookmarkStart w:id="367" w:name="_Toc57041408"/>
      <w:r>
        <w:rPr>
          <w:rFonts w:hint="eastAsia" w:ascii="Calibri Light" w:hAnsi="Calibri Light" w:cs="Times New Roman"/>
          <w:b w:val="0"/>
          <w:bCs w:val="0"/>
          <w:sz w:val="32"/>
          <w:szCs w:val="32"/>
        </w:rPr>
        <w:t>第三节</w:t>
      </w:r>
      <w:r>
        <w:rPr>
          <w:rFonts w:ascii="Calibri Light" w:hAnsi="Calibri Light" w:cs="Times New Roman"/>
          <w:b w:val="0"/>
          <w:bCs w:val="0"/>
          <w:sz w:val="32"/>
          <w:szCs w:val="32"/>
        </w:rPr>
        <w:t xml:space="preserve"> </w:t>
      </w:r>
      <w:r>
        <w:rPr>
          <w:rFonts w:hint="eastAsia" w:ascii="Calibri Light" w:hAnsi="Calibri Light" w:cs="Times New Roman"/>
          <w:b w:val="0"/>
          <w:bCs w:val="0"/>
          <w:sz w:val="32"/>
          <w:szCs w:val="32"/>
          <w:lang w:eastAsia="zh-CN"/>
        </w:rPr>
        <w:t>整治</w:t>
      </w:r>
      <w:r>
        <w:rPr>
          <w:rFonts w:hint="eastAsia" w:ascii="Calibri Light" w:hAnsi="Calibri Light" w:cs="Times New Roman"/>
          <w:b w:val="0"/>
          <w:bCs w:val="0"/>
          <w:sz w:val="32"/>
          <w:szCs w:val="32"/>
        </w:rPr>
        <w:t>提升农村牧区人居环境</w:t>
      </w:r>
      <w:bookmarkEnd w:id="358"/>
      <w:bookmarkEnd w:id="359"/>
      <w:bookmarkEnd w:id="360"/>
      <w:bookmarkEnd w:id="361"/>
      <w:bookmarkEnd w:id="362"/>
      <w:bookmarkEnd w:id="363"/>
      <w:bookmarkEnd w:id="364"/>
      <w:bookmarkEnd w:id="365"/>
      <w:bookmarkEnd w:id="366"/>
      <w:bookmarkEnd w:id="367"/>
    </w:p>
    <w:p w14:paraId="2B167284">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持续推进</w:t>
      </w:r>
      <w:r>
        <w:rPr>
          <w:rFonts w:hint="eastAsia" w:ascii="仿宋" w:hAnsi="仿宋" w:eastAsia="仿宋" w:cs="仿宋"/>
          <w:b/>
          <w:bCs/>
          <w:sz w:val="32"/>
          <w:szCs w:val="32"/>
          <w:lang w:eastAsia="zh-CN"/>
        </w:rPr>
        <w:t>农村牧区厕所革命</w:t>
      </w:r>
      <w:r>
        <w:rPr>
          <w:rFonts w:hint="eastAsia" w:ascii="仿宋" w:hAnsi="仿宋" w:eastAsia="仿宋" w:cs="仿宋"/>
          <w:b/>
          <w:bCs/>
          <w:sz w:val="32"/>
          <w:szCs w:val="32"/>
        </w:rPr>
        <w:t>。</w:t>
      </w:r>
      <w:r>
        <w:rPr>
          <w:rFonts w:hint="eastAsia" w:ascii="仿宋" w:hAnsi="仿宋" w:eastAsia="仿宋" w:cs="仿宋"/>
          <w:sz w:val="32"/>
          <w:szCs w:val="32"/>
        </w:rPr>
        <w:t>因地制宜，分类有序推进农村牧区卫生户厕改造工作，加快推进适合干旱、寒冷地区卫生厕所产品的试点试验和应用推广，推</w:t>
      </w:r>
      <w:r>
        <w:rPr>
          <w:rFonts w:hint="eastAsia" w:ascii="仿宋" w:hAnsi="仿宋" w:eastAsia="仿宋" w:cs="仿宋"/>
          <w:sz w:val="32"/>
          <w:szCs w:val="32"/>
          <w:lang w:eastAsia="zh-CN"/>
        </w:rPr>
        <w:t>动</w:t>
      </w:r>
      <w:r>
        <w:rPr>
          <w:rFonts w:hint="eastAsia" w:ascii="仿宋" w:hAnsi="仿宋" w:eastAsia="仿宋" w:cs="仿宋"/>
          <w:sz w:val="32"/>
          <w:szCs w:val="32"/>
        </w:rPr>
        <w:t>农村牧区厕所革命与生活污水治理有机衔接，鼓励联户、联村、村镇一体处理，健全适宜性、区域性卫生厕所技术标准体系。对于具备旅游发展条件的地区，通过政策引导、资金补助、标准规范等手段推进旅游厕所建设。到2025年，全盟农村牧区“厕所革命”取得积极进展，卫生厕所普及率逐步提高。</w:t>
      </w:r>
    </w:p>
    <w:p w14:paraId="6D93C5CC">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梯次</w:t>
      </w:r>
      <w:r>
        <w:rPr>
          <w:rFonts w:hint="eastAsia" w:ascii="仿宋" w:hAnsi="仿宋" w:eastAsia="仿宋" w:cs="仿宋"/>
          <w:b/>
          <w:bCs/>
          <w:sz w:val="32"/>
          <w:szCs w:val="32"/>
        </w:rPr>
        <w:t>推进农村牧区生活污水和垃圾处理。</w:t>
      </w:r>
      <w:r>
        <w:rPr>
          <w:rFonts w:hint="eastAsia" w:ascii="仿宋" w:hAnsi="仿宋" w:eastAsia="仿宋" w:cs="仿宋"/>
          <w:sz w:val="32"/>
          <w:szCs w:val="32"/>
        </w:rPr>
        <w:t>重点解决人口密集地区、环境敏感地区、生态保护区的污水治理问题，因地制宜建设污水处理设施。巩固垃圾分类和资源化利用试点成果，探索推广符合农村牧区特点和农牧民习惯、简便易行的分类处理模式。加强农村牧区生活垃圾收运处置设施建设，因地制宜推广符合环保要求的垃圾焚烧处理设施，建立健全旗县、苏木乡镇、嘎查村三级垃圾收运处置体系。到2025年，全盟农村牧区生活垃圾收运处置体系覆盖面不断扩大，农村牧区生活污水治理水平稳步提升，乱倒乱排现象得到有效管控。</w:t>
      </w:r>
    </w:p>
    <w:p w14:paraId="4F445795">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整体提升村容村貌。</w:t>
      </w:r>
      <w:r>
        <w:rPr>
          <w:rFonts w:hint="eastAsia" w:ascii="仿宋" w:hAnsi="仿宋" w:eastAsia="仿宋" w:cs="仿宋"/>
          <w:sz w:val="32"/>
          <w:szCs w:val="32"/>
        </w:rPr>
        <w:t>推进以“清四堆、治四乱、创四有”为主要内容的村庄清洁行动和绿化行动，建设一批农村牧区人居环境整治提升示范旗县。加快推进通村组道路建设，整治公共空间和庭院环境，大力提升农村牧区建筑风貌，推进嘎查村绿化。广泛开展爱国卫生创建活动</w:t>
      </w:r>
      <w:r>
        <w:rPr>
          <w:rFonts w:hint="eastAsia" w:ascii="仿宋" w:hAnsi="仿宋" w:eastAsia="仿宋" w:cs="仿宋"/>
          <w:sz w:val="32"/>
          <w:szCs w:val="32"/>
          <w:lang w:eastAsia="zh-CN"/>
        </w:rPr>
        <w:t>，</w:t>
      </w:r>
      <w:r>
        <w:rPr>
          <w:rFonts w:hint="eastAsia" w:ascii="仿宋" w:hAnsi="仿宋" w:eastAsia="仿宋" w:cs="仿宋"/>
          <w:sz w:val="32"/>
          <w:szCs w:val="32"/>
        </w:rPr>
        <w:t>提升环境卫生规范化和精细化管理水平。</w:t>
      </w:r>
      <w:r>
        <w:rPr>
          <w:rFonts w:hint="eastAsia" w:ascii="仿宋" w:hAnsi="仿宋" w:eastAsia="仿宋" w:cs="仿宋"/>
          <w:color w:val="000000" w:themeColor="text1"/>
          <w:sz w:val="32"/>
          <w:szCs w:val="32"/>
        </w:rPr>
        <w:t>开展农村牧区房屋安全隐患排查整治，提高</w:t>
      </w:r>
      <w:r>
        <w:rPr>
          <w:rFonts w:hint="eastAsia" w:ascii="仿宋" w:hAnsi="仿宋" w:eastAsia="仿宋" w:cs="仿宋"/>
          <w:color w:val="000000" w:themeColor="text1"/>
          <w:sz w:val="32"/>
          <w:szCs w:val="32"/>
          <w:lang w:eastAsia="zh-CN"/>
        </w:rPr>
        <w:t>房屋</w:t>
      </w:r>
      <w:r>
        <w:rPr>
          <w:rFonts w:hint="eastAsia" w:ascii="仿宋" w:hAnsi="仿宋" w:eastAsia="仿宋" w:cs="仿宋"/>
          <w:color w:val="000000" w:themeColor="text1"/>
          <w:sz w:val="32"/>
          <w:szCs w:val="32"/>
        </w:rPr>
        <w:t>设计水平和建设质量，继续实施农村牧区危房改造，</w:t>
      </w:r>
      <w:r>
        <w:rPr>
          <w:rFonts w:hint="eastAsia" w:ascii="仿宋" w:hAnsi="仿宋" w:eastAsia="仿宋" w:cs="仿宋"/>
          <w:sz w:val="32"/>
          <w:szCs w:val="32"/>
        </w:rPr>
        <w:t>统筹住房、辅房、院落等功能，精心调配空间布局，既体现美观性又体现适用性。</w:t>
      </w:r>
    </w:p>
    <w:p w14:paraId="6565F176">
      <w:pPr>
        <w:pageBreakBefore w:val="0"/>
        <w:widowControl w:val="0"/>
        <w:kinsoku/>
        <w:wordWrap/>
        <w:overflowPunct/>
        <w:topLinePunct w:val="0"/>
        <w:autoSpaceDE/>
        <w:autoSpaceDN/>
        <w:bidi w:val="0"/>
        <w:adjustRightInd/>
        <w:snapToGrid/>
        <w:spacing w:after="156" w:afterLines="50" w:line="600" w:lineRule="exact"/>
        <w:ind w:firstLine="643" w:firstLineChars="200"/>
        <w:textAlignment w:val="auto"/>
        <w:rPr>
          <w:rFonts w:ascii="仿宋" w:hAnsi="仿宋" w:eastAsia="仿宋" w:cstheme="minorBidi"/>
          <w:sz w:val="32"/>
          <w:szCs w:val="32"/>
        </w:rPr>
      </w:pPr>
      <w:r>
        <w:rPr>
          <w:rFonts w:hint="eastAsia" w:ascii="仿宋" w:hAnsi="仿宋" w:eastAsia="仿宋" w:cs="仿宋"/>
          <w:b/>
          <w:bCs/>
          <w:sz w:val="32"/>
          <w:szCs w:val="32"/>
        </w:rPr>
        <w:t>不断完善建设和管护机制。</w:t>
      </w:r>
      <w:r>
        <w:rPr>
          <w:rFonts w:hint="eastAsia" w:ascii="仿宋" w:hAnsi="仿宋" w:eastAsia="仿宋" w:cs="仿宋"/>
          <w:sz w:val="32"/>
          <w:szCs w:val="32"/>
        </w:rPr>
        <w:t>建立健全村庄道路、供排水、垃圾和污水处理、卫生户厕、农牧业生产废弃物资源化利用和村庄绿化等长效管护制度</w:t>
      </w:r>
      <w:r>
        <w:rPr>
          <w:rFonts w:hint="eastAsia" w:ascii="仿宋" w:hAnsi="仿宋" w:eastAsia="仿宋" w:cs="仿宋"/>
          <w:sz w:val="32"/>
          <w:szCs w:val="32"/>
          <w:lang w:eastAsia="zh-CN"/>
        </w:rPr>
        <w:t>，</w:t>
      </w:r>
      <w:r>
        <w:rPr>
          <w:rFonts w:hint="eastAsia" w:ascii="仿宋" w:hAnsi="仿宋" w:eastAsia="仿宋" w:cs="仿宋"/>
          <w:sz w:val="32"/>
          <w:szCs w:val="32"/>
        </w:rPr>
        <w:t>进一步完善有</w:t>
      </w:r>
      <w:r>
        <w:rPr>
          <w:rFonts w:hint="eastAsia" w:ascii="仿宋" w:hAnsi="仿宋" w:eastAsia="仿宋" w:cstheme="minorBidi"/>
          <w:sz w:val="32"/>
          <w:szCs w:val="32"/>
        </w:rPr>
        <w:t>制度、有标准、有队伍、有督查、有经费的嘎查村人居环境管护长效机制。加强人居环境整治工作后续管护基础设施建设，支持有条件的地区推行城乡垃圾污水处理统一规划、统一建设、统一运行、统一管理。积极探索市场化与公益性相结合的服务运营方式，</w:t>
      </w:r>
      <w:r>
        <w:rPr>
          <w:rFonts w:hint="eastAsia" w:ascii="仿宋" w:hAnsi="仿宋" w:eastAsia="仿宋" w:cstheme="minorBidi"/>
          <w:sz w:val="32"/>
          <w:szCs w:val="32"/>
          <w:lang w:eastAsia="zh-CN"/>
        </w:rPr>
        <w:t>明确</w:t>
      </w:r>
      <w:r>
        <w:rPr>
          <w:rFonts w:hint="eastAsia" w:ascii="仿宋" w:hAnsi="仿宋" w:eastAsia="仿宋" w:cstheme="minorBidi"/>
          <w:sz w:val="32"/>
          <w:szCs w:val="32"/>
        </w:rPr>
        <w:t>人居环境整治工作社会化服务的主攻方向和示范模式，逐步将人居环境整治各项工作纳入社会化服务范围。</w:t>
      </w:r>
    </w:p>
    <w:p w14:paraId="31D2E959">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2"/>
        </w:rPr>
      </w:pPr>
      <w:bookmarkStart w:id="368" w:name="_Toc32096"/>
      <w:bookmarkStart w:id="369" w:name="_Toc8102"/>
      <w:bookmarkStart w:id="370" w:name="_Toc8906"/>
      <w:bookmarkStart w:id="371" w:name="_Toc877078608_WPSOffice_Level2"/>
      <w:bookmarkStart w:id="372" w:name="_Toc3514"/>
      <w:bookmarkStart w:id="373" w:name="_Toc58870153"/>
      <w:bookmarkStart w:id="374" w:name="_Toc59000540"/>
      <w:bookmarkStart w:id="375" w:name="_Toc14913"/>
      <w:bookmarkStart w:id="376" w:name="_Toc29012"/>
      <w:bookmarkStart w:id="377" w:name="_Toc57041409"/>
      <w:r>
        <w:rPr>
          <w:rFonts w:hint="eastAsia" w:ascii="Calibri Light" w:hAnsi="Calibri Light" w:cs="Times New Roman"/>
          <w:b w:val="0"/>
          <w:bCs w:val="0"/>
          <w:sz w:val="32"/>
          <w:szCs w:val="32"/>
        </w:rPr>
        <w:t>第四节 加强农村牧区生态文明建设</w:t>
      </w:r>
      <w:bookmarkEnd w:id="368"/>
      <w:bookmarkEnd w:id="369"/>
      <w:bookmarkEnd w:id="370"/>
      <w:bookmarkEnd w:id="371"/>
      <w:bookmarkEnd w:id="372"/>
    </w:p>
    <w:p w14:paraId="095D85BB">
      <w:pPr>
        <w:pStyle w:val="2"/>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bookmarkStart w:id="378" w:name="_Toc58870139"/>
      <w:r>
        <w:rPr>
          <w:rFonts w:hint="eastAsia" w:ascii="仿宋" w:hAnsi="仿宋" w:eastAsia="仿宋" w:cs="仿宋"/>
          <w:b/>
          <w:bCs/>
          <w:sz w:val="32"/>
          <w:szCs w:val="32"/>
        </w:rPr>
        <w:t>修复保护生态系统。</w:t>
      </w:r>
      <w:r>
        <w:rPr>
          <w:rFonts w:hint="eastAsia" w:ascii="仿宋" w:hAnsi="仿宋" w:eastAsia="仿宋" w:cs="仿宋"/>
          <w:sz w:val="32"/>
          <w:szCs w:val="32"/>
        </w:rPr>
        <w:t>全面推进生态文明建设示范盟创建，加强自然生态系统保护，完善草原生态补奖政策，落实禁牧、休牧、草畜平衡制度，严禁在草原上乱采盗挖，严禁新开露天矿山，认真执行“草原三区管控”要求。统筹山水林田湖草</w:t>
      </w:r>
      <w:r>
        <w:rPr>
          <w:rFonts w:hint="eastAsia" w:ascii="仿宋" w:hAnsi="仿宋" w:eastAsia="仿宋" w:cs="仿宋"/>
          <w:sz w:val="32"/>
          <w:szCs w:val="32"/>
          <w:lang w:eastAsia="zh-CN"/>
        </w:rPr>
        <w:t>沙</w:t>
      </w:r>
      <w:r>
        <w:rPr>
          <w:rFonts w:hint="eastAsia" w:ascii="仿宋" w:hAnsi="仿宋" w:eastAsia="仿宋" w:cs="仿宋"/>
          <w:sz w:val="32"/>
          <w:szCs w:val="32"/>
        </w:rPr>
        <w:t>综合系统治理，继续实施京津沙源治理工程、退耕还林还草、水土保持综合治理、天然林资源保护、草原生态修复治理等重点生态建设工程，加强生态保护与建设。强化河（湖、林）长制度，加强河流、湖泊、森林生态保护和治理。推动农牧业农村牧区减排固碳，积极发展富碳农业、富碳草业，开展农牧业农村牧区可再生能源替代示范。</w:t>
      </w:r>
    </w:p>
    <w:p w14:paraId="570B38EC">
      <w:pPr>
        <w:pStyle w:val="2"/>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加强资源保护</w:t>
      </w:r>
      <w:r>
        <w:rPr>
          <w:rFonts w:hint="eastAsia" w:ascii="仿宋" w:hAnsi="仿宋" w:eastAsia="仿宋" w:cs="仿宋"/>
          <w:b/>
          <w:bCs/>
          <w:sz w:val="32"/>
          <w:szCs w:val="32"/>
          <w:lang w:eastAsia="zh-CN"/>
        </w:rPr>
        <w:t>利用</w:t>
      </w:r>
      <w:r>
        <w:rPr>
          <w:rFonts w:hint="eastAsia" w:ascii="仿宋" w:hAnsi="仿宋" w:eastAsia="仿宋" w:cs="仿宋"/>
          <w:b/>
          <w:bCs/>
          <w:sz w:val="32"/>
          <w:szCs w:val="32"/>
        </w:rPr>
        <w:t>。</w:t>
      </w:r>
      <w:r>
        <w:rPr>
          <w:rFonts w:hint="eastAsia" w:ascii="仿宋" w:hAnsi="仿宋" w:eastAsia="仿宋" w:cs="仿宋"/>
          <w:sz w:val="32"/>
          <w:szCs w:val="32"/>
        </w:rPr>
        <w:t>深入推进农业水价综合改革，健全节水激励机制，建立量水而行、以水定产的农</w:t>
      </w:r>
      <w:r>
        <w:rPr>
          <w:rFonts w:hint="eastAsia" w:ascii="仿宋" w:hAnsi="仿宋" w:eastAsia="仿宋" w:cs="仿宋"/>
          <w:sz w:val="32"/>
          <w:szCs w:val="32"/>
          <w:lang w:eastAsia="zh-CN"/>
        </w:rPr>
        <w:t>牧</w:t>
      </w:r>
      <w:r>
        <w:rPr>
          <w:rFonts w:hint="eastAsia" w:ascii="仿宋" w:hAnsi="仿宋" w:eastAsia="仿宋" w:cs="仿宋"/>
          <w:sz w:val="32"/>
          <w:szCs w:val="32"/>
        </w:rPr>
        <w:t>业用水制度。因地制宜发展微喷灌等高效节水灌溉，改造传统井灌区，实施水肥一体化等高效节水灌溉工程。健全耕地轮作休耕制度，开展渔业增殖放流，加强生物多样性保护</w:t>
      </w:r>
      <w:r>
        <w:rPr>
          <w:rFonts w:hint="eastAsia" w:ascii="仿宋" w:hAnsi="仿宋" w:eastAsia="仿宋" w:cs="仿宋"/>
          <w:sz w:val="32"/>
          <w:szCs w:val="32"/>
          <w:lang w:eastAsia="zh-CN"/>
        </w:rPr>
        <w:t>，</w:t>
      </w:r>
      <w:r>
        <w:rPr>
          <w:rFonts w:hint="eastAsia" w:ascii="仿宋" w:hAnsi="仿宋" w:eastAsia="仿宋" w:cs="仿宋"/>
          <w:sz w:val="32"/>
          <w:szCs w:val="32"/>
        </w:rPr>
        <w:t>强化外来入侵物种防控。因地制宜推广畜禽养殖废弃</w:t>
      </w:r>
      <w:r>
        <w:rPr>
          <w:rFonts w:hint="eastAsia" w:ascii="仿宋" w:hAnsi="仿宋" w:eastAsia="仿宋" w:cs="Times New Roman"/>
          <w:sz w:val="32"/>
          <w:szCs w:val="32"/>
        </w:rPr>
        <w:t>物综合利用模式，推动粪肥科学还田，构建种养结合、农牧循环发展机制。以农作物秸秆肥料化和饲料化利用为重点，推动形成收、储、运、用技术模式。</w:t>
      </w:r>
      <w:r>
        <w:rPr>
          <w:rFonts w:hint="eastAsia" w:ascii="Times New Roman" w:hAnsi="Times New Roman" w:eastAsia="仿宋" w:cs="Times New Roman"/>
          <w:sz w:val="32"/>
          <w:szCs w:val="32"/>
        </w:rPr>
        <w:t>加强化肥、农药、兽药及饲料质量安全管理</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通过结构调整、地力提升、精准施肥</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实现化肥</w:t>
      </w:r>
      <w:r>
        <w:rPr>
          <w:rFonts w:hint="eastAsia" w:ascii="Times New Roman" w:hAnsi="Times New Roman" w:eastAsia="仿宋" w:cs="Times New Roman"/>
          <w:sz w:val="32"/>
          <w:szCs w:val="32"/>
          <w:lang w:eastAsia="zh-CN"/>
        </w:rPr>
        <w:t>农药</w:t>
      </w:r>
      <w:r>
        <w:rPr>
          <w:rFonts w:hint="eastAsia" w:ascii="Times New Roman" w:hAnsi="Times New Roman" w:eastAsia="仿宋" w:cs="Times New Roman"/>
          <w:sz w:val="32"/>
          <w:szCs w:val="32"/>
        </w:rPr>
        <w:t>使用量零增长。全面推行</w:t>
      </w:r>
      <w:r>
        <w:rPr>
          <w:rFonts w:hint="eastAsia" w:ascii="仿宋" w:hAnsi="仿宋" w:eastAsia="仿宋" w:cs="仿宋"/>
          <w:sz w:val="32"/>
          <w:szCs w:val="32"/>
        </w:rPr>
        <w:t>国标地膜，逐步建立地膜回收储运体系，探索建立地膜回收机制。到2025年，</w:t>
      </w:r>
      <w:r>
        <w:rPr>
          <w:rFonts w:hint="eastAsia" w:ascii="仿宋" w:hAnsi="仿宋" w:eastAsia="仿宋" w:cs="Times New Roman"/>
          <w:sz w:val="32"/>
          <w:szCs w:val="32"/>
        </w:rPr>
        <w:t>畜禽粪污资源化利用率</w:t>
      </w:r>
      <w:r>
        <w:rPr>
          <w:rFonts w:hint="eastAsia" w:ascii="仿宋" w:hAnsi="仿宋" w:eastAsia="仿宋" w:cs="Times New Roman"/>
          <w:sz w:val="32"/>
          <w:szCs w:val="32"/>
          <w:lang w:eastAsia="zh-CN"/>
        </w:rPr>
        <w:t>达到</w:t>
      </w:r>
      <w:r>
        <w:rPr>
          <w:rFonts w:hint="eastAsia" w:ascii="仿宋" w:hAnsi="仿宋" w:eastAsia="仿宋" w:cs="Times New Roman"/>
          <w:sz w:val="32"/>
          <w:szCs w:val="32"/>
        </w:rPr>
        <w:t>83%以上，秸秆综合利用率</w:t>
      </w:r>
      <w:r>
        <w:rPr>
          <w:rFonts w:hint="eastAsia" w:ascii="仿宋" w:hAnsi="仿宋" w:eastAsia="仿宋" w:cs="Times New Roman"/>
          <w:sz w:val="32"/>
          <w:szCs w:val="32"/>
          <w:lang w:eastAsia="zh-CN"/>
        </w:rPr>
        <w:t>达到</w:t>
      </w:r>
      <w:r>
        <w:rPr>
          <w:rFonts w:hint="eastAsia" w:ascii="仿宋" w:hAnsi="仿宋" w:eastAsia="仿宋" w:cs="Times New Roman"/>
          <w:sz w:val="32"/>
          <w:szCs w:val="32"/>
        </w:rPr>
        <w:t>90%以上</w:t>
      </w:r>
      <w:r>
        <w:rPr>
          <w:rFonts w:hint="eastAsia" w:ascii="Times New Roman" w:hAnsi="Times New Roman" w:eastAsia="仿宋" w:cs="Times New Roman"/>
          <w:sz w:val="32"/>
          <w:szCs w:val="32"/>
          <w:lang w:eastAsia="zh-CN"/>
        </w:rPr>
        <w:t>，</w:t>
      </w:r>
      <w:r>
        <w:rPr>
          <w:rFonts w:hint="eastAsia" w:ascii="仿宋" w:hAnsi="仿宋" w:eastAsia="仿宋" w:cs="仿宋"/>
          <w:sz w:val="32"/>
          <w:szCs w:val="32"/>
        </w:rPr>
        <w:t>当季农膜回收率达到85%。</w:t>
      </w:r>
    </w:p>
    <w:tbl>
      <w:tblPr>
        <w:tblStyle w:val="26"/>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8522"/>
      </w:tblGrid>
      <w:tr w14:paraId="69DCA3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8522" w:type="dxa"/>
            <w:tcBorders>
              <w:bottom w:val="single" w:color="auto" w:sz="4" w:space="0"/>
              <w:tl2br w:val="nil"/>
              <w:tr2bl w:val="nil"/>
            </w:tcBorders>
            <w:shd w:val="clear" w:color="auto" w:fill="FFFFFF" w:themeFill="background1"/>
          </w:tcPr>
          <w:p w14:paraId="6F93B551">
            <w:pPr>
              <w:spacing w:line="540" w:lineRule="exact"/>
              <w:ind w:left="210" w:right="210"/>
              <w:jc w:val="center"/>
              <w:rPr>
                <w:rFonts w:hint="eastAsia" w:ascii="宋体" w:hAnsi="宋体" w:eastAsia="黑体"/>
                <w:kern w:val="0"/>
                <w:sz w:val="28"/>
                <w:szCs w:val="28"/>
                <w:lang w:eastAsia="zh-CN"/>
              </w:rPr>
            </w:pPr>
            <w:r>
              <w:rPr>
                <w:rFonts w:hint="eastAsia" w:ascii="黑体" w:hAnsi="黑体" w:eastAsia="黑体" w:cs="黑体"/>
                <w:b w:val="0"/>
                <w:bCs w:val="0"/>
                <w:kern w:val="0"/>
                <w:sz w:val="28"/>
                <w:szCs w:val="28"/>
              </w:rPr>
              <w:t xml:space="preserve">专栏5  </w:t>
            </w:r>
            <w:r>
              <w:rPr>
                <w:rFonts w:hint="eastAsia" w:ascii="黑体" w:hAnsi="黑体" w:eastAsia="黑体" w:cs="黑体"/>
                <w:b w:val="0"/>
                <w:bCs w:val="0"/>
                <w:kern w:val="0"/>
                <w:sz w:val="28"/>
                <w:szCs w:val="28"/>
                <w:lang w:eastAsia="zh-CN"/>
              </w:rPr>
              <w:t>农村牧区公共基础设施建设工程</w:t>
            </w:r>
          </w:p>
        </w:tc>
      </w:tr>
      <w:tr w14:paraId="570A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8522" w:type="dxa"/>
            <w:tcBorders>
              <w:top w:val="single" w:color="auto" w:sz="4" w:space="0"/>
              <w:bottom w:val="single" w:color="auto" w:sz="4" w:space="0"/>
              <w:tl2br w:val="nil"/>
              <w:tr2bl w:val="nil"/>
            </w:tcBorders>
            <w:shd w:val="clear" w:color="auto" w:fill="FFFFFF" w:themeFill="background1"/>
          </w:tcPr>
          <w:p w14:paraId="11A1254C">
            <w:pPr>
              <w:keepNext w:val="0"/>
              <w:keepLines w:val="0"/>
              <w:pageBreakBefore w:val="0"/>
              <w:widowControl/>
              <w:kinsoku/>
              <w:wordWrap/>
              <w:overflowPunct/>
              <w:topLinePunct w:val="0"/>
              <w:autoSpaceDE/>
              <w:autoSpaceDN/>
              <w:bidi w:val="0"/>
              <w:adjustRightInd/>
              <w:snapToGrid/>
              <w:spacing w:line="380" w:lineRule="exact"/>
              <w:ind w:left="210" w:right="210" w:firstLine="480" w:firstLineChars="200"/>
              <w:jc w:val="left"/>
              <w:textAlignment w:val="auto"/>
              <w:rPr>
                <w:rFonts w:ascii="仿宋" w:hAnsi="仿宋" w:eastAsia="仿宋" w:cs="仿宋"/>
                <w:sz w:val="24"/>
              </w:rPr>
            </w:pPr>
            <w:r>
              <w:rPr>
                <w:rFonts w:hint="eastAsia" w:ascii="黑体" w:hAnsi="黑体" w:eastAsia="黑体" w:cs="黑体"/>
                <w:sz w:val="24"/>
              </w:rPr>
              <w:t>1</w:t>
            </w:r>
            <w:r>
              <w:rPr>
                <w:rFonts w:ascii="黑体" w:hAnsi="黑体" w:eastAsia="黑体" w:cs="黑体"/>
                <w:sz w:val="24"/>
              </w:rPr>
              <w:t>.</w:t>
            </w:r>
            <w:r>
              <w:rPr>
                <w:rFonts w:hint="eastAsia" w:ascii="黑体" w:hAnsi="黑体" w:eastAsia="黑体" w:cs="黑体"/>
                <w:sz w:val="24"/>
              </w:rPr>
              <w:t>农村牧区供水保障</w:t>
            </w:r>
            <w:r>
              <w:rPr>
                <w:rFonts w:hint="eastAsia" w:ascii="黑体" w:hAnsi="黑体" w:eastAsia="黑体" w:cs="黑体"/>
                <w:sz w:val="24"/>
                <w:lang w:eastAsia="zh-CN"/>
              </w:rPr>
              <w:t>。</w:t>
            </w:r>
            <w:r>
              <w:rPr>
                <w:rFonts w:hint="eastAsia" w:ascii="仿宋" w:hAnsi="仿宋" w:eastAsia="仿宋" w:cs="仿宋"/>
                <w:sz w:val="24"/>
              </w:rPr>
              <w:t>对人口居住分散的区域，因地制宜建设水源井、储水窖，对于集中式供水工程，采取新建、维修养护、达标改造、应急供水等综合措施，提高供水保障能力。强化水源保护和水质检测监测，确保饮用水安全。落实工程管护责任和维修养护经费，全面建立长效运行管护机制，保障供水工程良性运营。</w:t>
            </w:r>
          </w:p>
          <w:p w14:paraId="6AFC4A08">
            <w:pPr>
              <w:keepNext w:val="0"/>
              <w:keepLines w:val="0"/>
              <w:pageBreakBefore w:val="0"/>
              <w:widowControl/>
              <w:kinsoku/>
              <w:wordWrap/>
              <w:overflowPunct/>
              <w:topLinePunct w:val="0"/>
              <w:autoSpaceDE/>
              <w:autoSpaceDN/>
              <w:bidi w:val="0"/>
              <w:adjustRightInd/>
              <w:snapToGrid/>
              <w:spacing w:line="380" w:lineRule="exact"/>
              <w:ind w:left="210" w:right="210" w:firstLine="480" w:firstLineChars="200"/>
              <w:jc w:val="left"/>
              <w:textAlignment w:val="auto"/>
              <w:rPr>
                <w:rFonts w:ascii="仿宋" w:hAnsi="仿宋" w:eastAsia="仿宋" w:cs="仿宋"/>
                <w:sz w:val="24"/>
              </w:rPr>
            </w:pPr>
            <w:r>
              <w:rPr>
                <w:rFonts w:hint="eastAsia" w:ascii="黑体" w:hAnsi="黑体" w:eastAsia="黑体" w:cs="黑体"/>
                <w:sz w:val="24"/>
              </w:rPr>
              <w:t>2</w:t>
            </w:r>
            <w:r>
              <w:rPr>
                <w:rFonts w:ascii="黑体" w:hAnsi="黑体" w:eastAsia="黑体" w:cs="黑体"/>
                <w:sz w:val="24"/>
              </w:rPr>
              <w:t>.</w:t>
            </w:r>
            <w:r>
              <w:rPr>
                <w:rFonts w:hint="eastAsia" w:ascii="黑体" w:hAnsi="黑体" w:eastAsia="黑体" w:cs="黑体"/>
                <w:sz w:val="24"/>
              </w:rPr>
              <w:t>农网升级改造</w:t>
            </w:r>
            <w:r>
              <w:rPr>
                <w:rFonts w:hint="eastAsia" w:ascii="黑体" w:hAnsi="黑体" w:eastAsia="黑体" w:cs="黑体"/>
                <w:sz w:val="24"/>
                <w:lang w:eastAsia="zh-CN"/>
              </w:rPr>
              <w:t>。</w:t>
            </w:r>
            <w:r>
              <w:rPr>
                <w:rFonts w:hint="eastAsia" w:ascii="仿宋" w:hAnsi="仿宋" w:eastAsia="仿宋" w:cs="仿宋"/>
                <w:sz w:val="24"/>
              </w:rPr>
              <w:t>优化区域电网结构，提升电网联动水平和带载能力，提高偏远地区供电能力，确保农村牧区供电质量持续提高。重点实施牧区电网改造工程，对具备转网条件的牧户</w:t>
            </w:r>
            <w:r>
              <w:rPr>
                <w:rFonts w:hint="eastAsia" w:ascii="仿宋" w:hAnsi="仿宋" w:eastAsia="仿宋" w:cs="仿宋"/>
                <w:sz w:val="24"/>
                <w:lang w:eastAsia="zh-CN"/>
              </w:rPr>
              <w:t>逐步</w:t>
            </w:r>
            <w:r>
              <w:rPr>
                <w:rFonts w:hint="eastAsia" w:ascii="仿宋" w:hAnsi="仿宋" w:eastAsia="仿宋" w:cs="仿宋"/>
                <w:sz w:val="24"/>
              </w:rPr>
              <w:t>实施通网电，对使用风光互补新能源的牧户积极争取国家、自治区财政补贴支持，对现有设备进行升级改造。</w:t>
            </w:r>
          </w:p>
          <w:p w14:paraId="3A39F8CC">
            <w:pPr>
              <w:keepNext w:val="0"/>
              <w:keepLines w:val="0"/>
              <w:pageBreakBefore w:val="0"/>
              <w:widowControl/>
              <w:kinsoku/>
              <w:wordWrap/>
              <w:overflowPunct/>
              <w:topLinePunct w:val="0"/>
              <w:autoSpaceDE/>
              <w:autoSpaceDN/>
              <w:bidi w:val="0"/>
              <w:adjustRightInd/>
              <w:snapToGrid/>
              <w:spacing w:line="380" w:lineRule="exact"/>
              <w:ind w:left="210" w:right="210" w:firstLine="480" w:firstLineChars="200"/>
              <w:jc w:val="left"/>
              <w:textAlignment w:val="auto"/>
              <w:rPr>
                <w:rFonts w:hint="eastAsia" w:ascii="仿宋" w:hAnsi="仿宋" w:eastAsia="仿宋" w:cs="仿宋"/>
                <w:sz w:val="24"/>
              </w:rPr>
            </w:pPr>
            <w:r>
              <w:rPr>
                <w:rFonts w:hint="eastAsia" w:ascii="黑体" w:hAnsi="黑体" w:eastAsia="黑体" w:cs="黑体"/>
                <w:sz w:val="24"/>
              </w:rPr>
              <w:t>3</w:t>
            </w:r>
            <w:r>
              <w:rPr>
                <w:rFonts w:ascii="黑体" w:hAnsi="黑体" w:eastAsia="黑体" w:cs="黑体"/>
                <w:sz w:val="24"/>
              </w:rPr>
              <w:t>.</w:t>
            </w:r>
            <w:r>
              <w:rPr>
                <w:rFonts w:hint="eastAsia" w:ascii="黑体" w:hAnsi="黑体" w:eastAsia="黑体" w:cs="黑体"/>
                <w:sz w:val="24"/>
              </w:rPr>
              <w:t>“四好农村路”建设</w:t>
            </w:r>
            <w:r>
              <w:rPr>
                <w:rFonts w:hint="eastAsia" w:ascii="黑体" w:hAnsi="黑体" w:eastAsia="黑体" w:cs="黑体"/>
                <w:sz w:val="24"/>
                <w:lang w:eastAsia="zh-CN"/>
              </w:rPr>
              <w:t>。</w:t>
            </w:r>
            <w:r>
              <w:rPr>
                <w:rFonts w:hint="eastAsia" w:ascii="仿宋" w:hAnsi="仿宋" w:eastAsia="仿宋" w:cs="仿宋"/>
                <w:sz w:val="24"/>
              </w:rPr>
              <w:t>以较大人口规模自然村通硬化路</w:t>
            </w:r>
            <w:r>
              <w:rPr>
                <w:rFonts w:hint="eastAsia" w:ascii="仿宋" w:hAnsi="仿宋" w:eastAsia="仿宋" w:cs="仿宋"/>
                <w:sz w:val="24"/>
                <w:lang w:eastAsia="zh-CN"/>
              </w:rPr>
              <w:t>，</w:t>
            </w:r>
            <w:r>
              <w:rPr>
                <w:rFonts w:hint="eastAsia" w:ascii="仿宋" w:hAnsi="仿宋" w:eastAsia="仿宋" w:cs="仿宋"/>
                <w:sz w:val="24"/>
              </w:rPr>
              <w:t>苏木乡镇、建制嘎查村公路提质升级改造</w:t>
            </w:r>
            <w:r>
              <w:rPr>
                <w:rFonts w:hint="eastAsia" w:ascii="仿宋" w:hAnsi="仿宋" w:eastAsia="仿宋" w:cs="仿宋"/>
                <w:sz w:val="24"/>
                <w:lang w:eastAsia="zh-CN"/>
              </w:rPr>
              <w:t>，</w:t>
            </w:r>
            <w:r>
              <w:rPr>
                <w:rFonts w:hint="eastAsia" w:ascii="仿宋" w:hAnsi="仿宋" w:eastAsia="仿宋" w:cs="仿宋"/>
                <w:sz w:val="24"/>
              </w:rPr>
              <w:t>旅游路资源路产业路和联网路建设为重点</w:t>
            </w:r>
            <w:r>
              <w:rPr>
                <w:rFonts w:hint="eastAsia" w:ascii="仿宋" w:hAnsi="仿宋" w:eastAsia="仿宋" w:cs="仿宋"/>
                <w:sz w:val="24"/>
                <w:lang w:eastAsia="zh-CN"/>
              </w:rPr>
              <w:t>，</w:t>
            </w:r>
            <w:r>
              <w:rPr>
                <w:rFonts w:hint="eastAsia" w:ascii="仿宋" w:hAnsi="仿宋" w:eastAsia="仿宋" w:cs="仿宋"/>
                <w:sz w:val="24"/>
              </w:rPr>
              <w:t>提升农村牧区公路通达深度和通行质量。</w:t>
            </w:r>
          </w:p>
          <w:p w14:paraId="3E9F7297">
            <w:pPr>
              <w:keepNext w:val="0"/>
              <w:keepLines w:val="0"/>
              <w:pageBreakBefore w:val="0"/>
              <w:widowControl/>
              <w:kinsoku/>
              <w:wordWrap/>
              <w:overflowPunct/>
              <w:topLinePunct w:val="0"/>
              <w:autoSpaceDE/>
              <w:autoSpaceDN/>
              <w:bidi w:val="0"/>
              <w:adjustRightInd/>
              <w:snapToGrid/>
              <w:spacing w:line="380" w:lineRule="exact"/>
              <w:ind w:left="210" w:right="210" w:firstLine="480" w:firstLineChars="200"/>
              <w:jc w:val="left"/>
              <w:textAlignment w:val="auto"/>
              <w:rPr>
                <w:rFonts w:hint="eastAsia" w:ascii="仿宋" w:hAnsi="仿宋" w:eastAsia="仿宋" w:cs="仿宋"/>
                <w:sz w:val="24"/>
              </w:rPr>
            </w:pPr>
            <w:r>
              <w:rPr>
                <w:rFonts w:hint="eastAsia" w:ascii="黑体" w:hAnsi="黑体" w:eastAsia="黑体" w:cs="黑体"/>
                <w:sz w:val="24"/>
                <w:lang w:val="en-US" w:eastAsia="zh-CN"/>
              </w:rPr>
              <w:t>4.</w:t>
            </w:r>
            <w:r>
              <w:rPr>
                <w:rFonts w:hint="eastAsia" w:ascii="黑体" w:hAnsi="黑体" w:eastAsia="黑体" w:cs="黑体"/>
                <w:sz w:val="24"/>
              </w:rPr>
              <w:t>乡村清洁能源建设。</w:t>
            </w:r>
            <w:r>
              <w:rPr>
                <w:rFonts w:hint="eastAsia" w:ascii="仿宋" w:hAnsi="仿宋" w:eastAsia="仿宋" w:cs="仿宋"/>
                <w:sz w:val="24"/>
                <w:lang w:eastAsia="zh-CN"/>
              </w:rPr>
              <w:t>通过</w:t>
            </w:r>
            <w:r>
              <w:rPr>
                <w:rFonts w:hint="eastAsia" w:ascii="仿宋" w:hAnsi="仿宋" w:eastAsia="仿宋" w:cs="仿宋"/>
                <w:sz w:val="24"/>
              </w:rPr>
              <w:t>持续推进农村牧区电网改造和动力电工程，因地制宜发展农村牧区电供暖、生物质能源清洁供暖。推动供气设施向乡村延伸，积极推动“煤改气”“煤改电”，强化清洁供暖设施建设，推动冬季清洁取暖。</w:t>
            </w:r>
          </w:p>
          <w:p w14:paraId="77F00D0E">
            <w:pPr>
              <w:keepNext w:val="0"/>
              <w:keepLines w:val="0"/>
              <w:pageBreakBefore w:val="0"/>
              <w:kinsoku/>
              <w:wordWrap/>
              <w:overflowPunct/>
              <w:topLinePunct w:val="0"/>
              <w:autoSpaceDE/>
              <w:autoSpaceDN/>
              <w:bidi w:val="0"/>
              <w:adjustRightInd/>
              <w:snapToGrid/>
              <w:spacing w:line="380" w:lineRule="exact"/>
              <w:ind w:left="210" w:right="210" w:firstLine="480" w:firstLineChars="200"/>
              <w:textAlignment w:val="auto"/>
              <w:rPr>
                <w:rFonts w:ascii="仿宋" w:hAnsi="仿宋" w:eastAsia="仿宋" w:cs="仿宋"/>
                <w:sz w:val="24"/>
              </w:rPr>
            </w:pPr>
            <w:r>
              <w:rPr>
                <w:rFonts w:hint="eastAsia" w:ascii="黑体" w:hAnsi="黑体" w:eastAsia="黑体" w:cs="黑体"/>
                <w:sz w:val="24"/>
                <w:lang w:val="en-US" w:eastAsia="zh-CN"/>
              </w:rPr>
              <w:t>5</w:t>
            </w:r>
            <w:r>
              <w:rPr>
                <w:rFonts w:ascii="黑体" w:hAnsi="黑体" w:eastAsia="黑体" w:cs="黑体"/>
                <w:sz w:val="24"/>
              </w:rPr>
              <w:t>.</w:t>
            </w:r>
            <w:r>
              <w:rPr>
                <w:rFonts w:hint="eastAsia" w:ascii="黑体" w:hAnsi="黑体" w:eastAsia="黑体" w:cs="黑体"/>
                <w:sz w:val="24"/>
              </w:rPr>
              <w:t>数字乡村建设</w:t>
            </w:r>
            <w:r>
              <w:rPr>
                <w:rFonts w:hint="eastAsia" w:ascii="黑体" w:hAnsi="黑体" w:eastAsia="黑体" w:cs="黑体"/>
                <w:sz w:val="24"/>
                <w:lang w:eastAsia="zh-CN"/>
              </w:rPr>
              <w:t>。</w:t>
            </w:r>
            <w:r>
              <w:rPr>
                <w:rFonts w:hint="eastAsia" w:ascii="仿宋" w:hAnsi="仿宋" w:eastAsia="仿宋" w:cs="仿宋"/>
                <w:sz w:val="24"/>
                <w:lang w:eastAsia="zh-CN"/>
              </w:rPr>
              <w:t>利用互联网、大数据等信息技术，提升农牧业农村牧区信息化、数字化发展水平</w:t>
            </w:r>
            <w:r>
              <w:rPr>
                <w:rFonts w:hint="eastAsia" w:ascii="仿宋" w:hAnsi="仿宋" w:eastAsia="仿宋" w:cs="仿宋"/>
                <w:sz w:val="24"/>
              </w:rPr>
              <w:t>。推进政务信息资源共享开放，</w:t>
            </w:r>
            <w:r>
              <w:rPr>
                <w:rFonts w:hint="eastAsia" w:ascii="仿宋" w:hAnsi="仿宋" w:eastAsia="仿宋" w:cs="仿宋"/>
                <w:sz w:val="24"/>
                <w:lang w:eastAsia="zh-CN"/>
              </w:rPr>
              <w:t>构建</w:t>
            </w:r>
            <w:r>
              <w:rPr>
                <w:rFonts w:hint="eastAsia" w:ascii="仿宋" w:hAnsi="仿宋" w:eastAsia="仿宋" w:cs="仿宋"/>
                <w:sz w:val="24"/>
              </w:rPr>
              <w:t>农村牧区政务信息资源“一张图”。</w:t>
            </w:r>
          </w:p>
          <w:p w14:paraId="360AC854">
            <w:pPr>
              <w:keepNext w:val="0"/>
              <w:keepLines w:val="0"/>
              <w:pageBreakBefore w:val="0"/>
              <w:widowControl/>
              <w:kinsoku/>
              <w:wordWrap/>
              <w:overflowPunct/>
              <w:topLinePunct w:val="0"/>
              <w:autoSpaceDE/>
              <w:autoSpaceDN/>
              <w:bidi w:val="0"/>
              <w:adjustRightInd/>
              <w:snapToGrid/>
              <w:spacing w:line="380" w:lineRule="exact"/>
              <w:ind w:left="210" w:right="210" w:firstLine="480" w:firstLineChars="200"/>
              <w:jc w:val="left"/>
              <w:textAlignment w:val="auto"/>
              <w:rPr>
                <w:rFonts w:ascii="仿宋" w:hAnsi="仿宋" w:eastAsia="仿宋" w:cs="仿宋"/>
                <w:sz w:val="24"/>
              </w:rPr>
            </w:pPr>
            <w:r>
              <w:rPr>
                <w:rFonts w:hint="eastAsia" w:ascii="黑体" w:hAnsi="黑体" w:eastAsia="黑体" w:cs="黑体"/>
                <w:sz w:val="24"/>
                <w:lang w:val="en-US" w:eastAsia="zh-CN"/>
              </w:rPr>
              <w:t>6</w:t>
            </w:r>
            <w:r>
              <w:rPr>
                <w:rFonts w:ascii="黑体" w:hAnsi="黑体" w:eastAsia="黑体" w:cs="黑体"/>
                <w:sz w:val="24"/>
              </w:rPr>
              <w:t>.</w:t>
            </w:r>
            <w:r>
              <w:rPr>
                <w:rFonts w:hint="eastAsia" w:ascii="黑体" w:hAnsi="黑体" w:eastAsia="黑体" w:cs="黑体"/>
                <w:sz w:val="24"/>
              </w:rPr>
              <w:t>农村牧区“厕所革命”</w:t>
            </w:r>
            <w:r>
              <w:rPr>
                <w:rFonts w:hint="eastAsia" w:ascii="黑体" w:hAnsi="黑体" w:eastAsia="黑体" w:cs="黑体"/>
                <w:sz w:val="24"/>
                <w:lang w:eastAsia="zh-CN"/>
              </w:rPr>
              <w:t>。</w:t>
            </w:r>
            <w:r>
              <w:rPr>
                <w:rFonts w:hint="eastAsia" w:ascii="仿宋" w:hAnsi="仿宋" w:eastAsia="仿宋" w:cs="仿宋"/>
                <w:sz w:val="24"/>
              </w:rPr>
              <w:t>有序推进农村牧区卫生户厕改造工作，加快推进适合干旱、寒冷地区卫生厕所的创新</w:t>
            </w:r>
            <w:r>
              <w:rPr>
                <w:rFonts w:hint="eastAsia" w:ascii="仿宋" w:hAnsi="仿宋" w:eastAsia="仿宋" w:cs="仿宋"/>
                <w:sz w:val="24"/>
                <w:lang w:eastAsia="zh-CN"/>
              </w:rPr>
              <w:t>、</w:t>
            </w:r>
            <w:r>
              <w:rPr>
                <w:rFonts w:hint="eastAsia" w:ascii="仿宋" w:hAnsi="仿宋" w:eastAsia="仿宋" w:cs="仿宋"/>
                <w:sz w:val="24"/>
              </w:rPr>
              <w:t>应用</w:t>
            </w:r>
            <w:r>
              <w:rPr>
                <w:rFonts w:hint="eastAsia" w:ascii="仿宋" w:hAnsi="仿宋" w:eastAsia="仿宋" w:cs="仿宋"/>
                <w:sz w:val="24"/>
                <w:lang w:eastAsia="zh-CN"/>
              </w:rPr>
              <w:t>和</w:t>
            </w:r>
            <w:r>
              <w:rPr>
                <w:rFonts w:hint="eastAsia" w:ascii="仿宋" w:hAnsi="仿宋" w:eastAsia="仿宋" w:cs="仿宋"/>
                <w:sz w:val="24"/>
              </w:rPr>
              <w:t>推广，严格执行卫生户厕技术标准。城市近郊及其他环境容量较小地区的嘎查村，加快推进户用卫生厕所建设和改造，同步实施厕所粪污治理；其他地区按照群众接受、经济适用、使用和维护方便、不污染公共水体的要求，普及不同模式的卫生厕所。</w:t>
            </w:r>
          </w:p>
          <w:p w14:paraId="79A8445E">
            <w:pPr>
              <w:keepNext w:val="0"/>
              <w:keepLines w:val="0"/>
              <w:pageBreakBefore w:val="0"/>
              <w:widowControl/>
              <w:kinsoku/>
              <w:wordWrap/>
              <w:overflowPunct/>
              <w:topLinePunct w:val="0"/>
              <w:autoSpaceDE/>
              <w:autoSpaceDN/>
              <w:bidi w:val="0"/>
              <w:adjustRightInd/>
              <w:snapToGrid/>
              <w:spacing w:line="380" w:lineRule="exact"/>
              <w:ind w:left="210" w:right="210" w:firstLine="480" w:firstLineChars="200"/>
              <w:jc w:val="left"/>
              <w:textAlignment w:val="auto"/>
              <w:rPr>
                <w:rFonts w:ascii="仿宋" w:hAnsi="仿宋" w:eastAsia="仿宋" w:cs="仿宋"/>
                <w:sz w:val="24"/>
              </w:rPr>
            </w:pPr>
            <w:r>
              <w:rPr>
                <w:rFonts w:hint="eastAsia" w:ascii="黑体" w:hAnsi="黑体" w:eastAsia="黑体" w:cs="黑体"/>
                <w:sz w:val="24"/>
                <w:lang w:val="en-US" w:eastAsia="zh-CN"/>
              </w:rPr>
              <w:t>7</w:t>
            </w:r>
            <w:r>
              <w:rPr>
                <w:rFonts w:ascii="黑体" w:hAnsi="黑体" w:eastAsia="黑体" w:cs="黑体"/>
                <w:sz w:val="24"/>
              </w:rPr>
              <w:t>.农村牧区垃圾治理工程</w:t>
            </w:r>
            <w:r>
              <w:rPr>
                <w:rFonts w:hint="eastAsia" w:ascii="黑体" w:hAnsi="黑体" w:eastAsia="黑体" w:cs="黑体"/>
                <w:sz w:val="24"/>
                <w:lang w:eastAsia="zh-CN"/>
              </w:rPr>
              <w:t>。</w:t>
            </w:r>
            <w:r>
              <w:rPr>
                <w:rFonts w:hint="eastAsia" w:ascii="仿宋" w:hAnsi="仿宋" w:eastAsia="仿宋" w:cs="仿宋"/>
                <w:sz w:val="24"/>
              </w:rPr>
              <w:t>因地制宜确定农村牧区生活垃圾处理模式，交通便利且转运距离较近的</w:t>
            </w:r>
            <w:r>
              <w:rPr>
                <w:rFonts w:hint="eastAsia" w:ascii="仿宋" w:hAnsi="仿宋" w:eastAsia="仿宋" w:cs="仿宋"/>
                <w:sz w:val="24"/>
                <w:lang w:eastAsia="zh-CN"/>
              </w:rPr>
              <w:t>地区</w:t>
            </w:r>
            <w:r>
              <w:rPr>
                <w:rFonts w:hint="eastAsia" w:ascii="仿宋" w:hAnsi="仿宋" w:eastAsia="仿宋" w:cs="仿宋"/>
                <w:sz w:val="24"/>
              </w:rPr>
              <w:t>可依托城镇无害化处理设施集中处理，其他</w:t>
            </w:r>
            <w:r>
              <w:rPr>
                <w:rFonts w:hint="eastAsia" w:ascii="仿宋" w:hAnsi="仿宋" w:eastAsia="仿宋" w:cs="仿宋"/>
                <w:sz w:val="24"/>
                <w:lang w:eastAsia="zh-CN"/>
              </w:rPr>
              <w:t>地区</w:t>
            </w:r>
            <w:r>
              <w:rPr>
                <w:rFonts w:hint="eastAsia" w:ascii="仿宋" w:hAnsi="仿宋" w:eastAsia="仿宋" w:cs="仿宋"/>
                <w:sz w:val="24"/>
              </w:rPr>
              <w:t>可就近分散处理。总结推广农村牧区生活垃圾分类和资源化利用示范旗县经验，基本覆盖所有具备条件的旗县。</w:t>
            </w:r>
          </w:p>
          <w:p w14:paraId="45991175">
            <w:pPr>
              <w:keepNext w:val="0"/>
              <w:keepLines w:val="0"/>
              <w:pageBreakBefore w:val="0"/>
              <w:widowControl/>
              <w:kinsoku/>
              <w:wordWrap/>
              <w:overflowPunct/>
              <w:topLinePunct w:val="0"/>
              <w:autoSpaceDE/>
              <w:autoSpaceDN/>
              <w:bidi w:val="0"/>
              <w:adjustRightInd/>
              <w:snapToGrid/>
              <w:spacing w:line="380" w:lineRule="exact"/>
              <w:ind w:left="210" w:right="210" w:firstLine="480" w:firstLineChars="200"/>
              <w:jc w:val="left"/>
              <w:textAlignment w:val="auto"/>
              <w:rPr>
                <w:rFonts w:ascii="仿宋" w:hAnsi="仿宋" w:eastAsia="仿宋" w:cs="仿宋"/>
                <w:sz w:val="24"/>
              </w:rPr>
            </w:pPr>
            <w:r>
              <w:rPr>
                <w:rFonts w:hint="eastAsia" w:ascii="黑体" w:hAnsi="黑体" w:eastAsia="黑体" w:cs="黑体"/>
                <w:sz w:val="24"/>
                <w:lang w:val="en-US" w:eastAsia="zh-CN"/>
              </w:rPr>
              <w:t>8</w:t>
            </w:r>
            <w:r>
              <w:rPr>
                <w:rFonts w:ascii="黑体" w:hAnsi="黑体" w:eastAsia="黑体" w:cs="黑体"/>
                <w:sz w:val="24"/>
              </w:rPr>
              <w:t>.农村牧区生活污水治理工程</w:t>
            </w:r>
            <w:r>
              <w:rPr>
                <w:rFonts w:hint="eastAsia" w:ascii="黑体" w:hAnsi="黑体" w:eastAsia="黑体" w:cs="黑体"/>
                <w:sz w:val="24"/>
                <w:lang w:eastAsia="zh-CN"/>
              </w:rPr>
              <w:t>。</w:t>
            </w:r>
            <w:r>
              <w:rPr>
                <w:rFonts w:hint="eastAsia" w:ascii="仿宋" w:hAnsi="仿宋" w:eastAsia="仿宋" w:cs="仿宋"/>
                <w:sz w:val="24"/>
              </w:rPr>
              <w:t>有条件的地区推进城镇污水处理设施和服务向城镇近郊的农村牧区延伸，其他</w:t>
            </w:r>
            <w:r>
              <w:rPr>
                <w:rFonts w:hint="eastAsia" w:ascii="仿宋" w:hAnsi="仿宋" w:eastAsia="仿宋" w:cs="仿宋"/>
                <w:sz w:val="24"/>
                <w:lang w:eastAsia="zh-CN"/>
              </w:rPr>
              <w:t>地区</w:t>
            </w:r>
            <w:r>
              <w:rPr>
                <w:rFonts w:hint="eastAsia" w:ascii="仿宋" w:hAnsi="仿宋" w:eastAsia="仿宋" w:cs="仿宋"/>
                <w:sz w:val="24"/>
              </w:rPr>
              <w:t>以分散处理为主。开展生活污水源头减量和尾水回收利用。</w:t>
            </w:r>
          </w:p>
          <w:p w14:paraId="45FA9C15">
            <w:pPr>
              <w:keepNext w:val="0"/>
              <w:keepLines w:val="0"/>
              <w:pageBreakBefore w:val="0"/>
              <w:widowControl/>
              <w:kinsoku/>
              <w:wordWrap/>
              <w:overflowPunct/>
              <w:topLinePunct w:val="0"/>
              <w:autoSpaceDE/>
              <w:autoSpaceDN/>
              <w:bidi w:val="0"/>
              <w:adjustRightInd/>
              <w:snapToGrid/>
              <w:spacing w:line="380" w:lineRule="exact"/>
              <w:ind w:left="210" w:right="210" w:firstLine="480" w:firstLineChars="200"/>
              <w:jc w:val="left"/>
              <w:textAlignment w:val="auto"/>
              <w:rPr>
                <w:rFonts w:hint="eastAsia" w:ascii="仿宋" w:hAnsi="仿宋" w:eastAsia="仿宋" w:cs="仿宋"/>
                <w:sz w:val="24"/>
                <w:lang w:val="en-US" w:eastAsia="zh-CN"/>
              </w:rPr>
            </w:pPr>
            <w:r>
              <w:rPr>
                <w:rFonts w:hint="eastAsia" w:ascii="黑体" w:hAnsi="黑体" w:eastAsia="黑体" w:cs="黑体"/>
                <w:sz w:val="24"/>
                <w:lang w:val="en-US" w:eastAsia="zh-CN"/>
              </w:rPr>
              <w:t>9</w:t>
            </w:r>
            <w:r>
              <w:rPr>
                <w:rFonts w:ascii="黑体" w:hAnsi="黑体" w:eastAsia="黑体" w:cs="黑体"/>
                <w:sz w:val="24"/>
              </w:rPr>
              <w:t>.</w:t>
            </w:r>
            <w:r>
              <w:rPr>
                <w:rFonts w:hint="eastAsia" w:ascii="黑体" w:hAnsi="黑体" w:eastAsia="黑体" w:cs="黑体"/>
                <w:sz w:val="24"/>
                <w:lang w:val="en-US" w:eastAsia="zh-CN"/>
              </w:rPr>
              <w:t>殡葬基础设施建设。</w:t>
            </w:r>
            <w:r>
              <w:rPr>
                <w:rFonts w:hint="eastAsia" w:ascii="仿宋" w:hAnsi="仿宋" w:eastAsia="仿宋" w:cs="仿宋"/>
                <w:sz w:val="24"/>
                <w:lang w:val="en-US" w:eastAsia="zh-CN"/>
              </w:rPr>
              <w:t>交通便利、人口众多、耕地较少的苏木乡镇、嘎查村要结合实际建立农村牧区公益性公墓或骨灰散撒区，不断健全殡葬服务设施。</w:t>
            </w:r>
          </w:p>
          <w:p w14:paraId="27CDDECC">
            <w:pPr>
              <w:keepNext w:val="0"/>
              <w:keepLines w:val="0"/>
              <w:pageBreakBefore w:val="0"/>
              <w:widowControl/>
              <w:kinsoku/>
              <w:wordWrap/>
              <w:overflowPunct/>
              <w:topLinePunct w:val="0"/>
              <w:autoSpaceDE/>
              <w:autoSpaceDN/>
              <w:bidi w:val="0"/>
              <w:adjustRightInd/>
              <w:snapToGrid/>
              <w:spacing w:line="380" w:lineRule="exact"/>
              <w:ind w:left="210" w:right="210" w:firstLine="480" w:firstLineChars="200"/>
              <w:jc w:val="left"/>
              <w:textAlignment w:val="auto"/>
            </w:pPr>
            <w:r>
              <w:rPr>
                <w:rFonts w:hint="eastAsia" w:ascii="黑体" w:hAnsi="黑体" w:eastAsia="黑体" w:cs="黑体"/>
                <w:sz w:val="24"/>
                <w:lang w:val="en-US" w:eastAsia="zh-CN"/>
              </w:rPr>
              <w:t>10</w:t>
            </w:r>
            <w:r>
              <w:rPr>
                <w:rFonts w:ascii="黑体" w:hAnsi="黑体" w:eastAsia="黑体" w:cs="黑体"/>
                <w:sz w:val="24"/>
              </w:rPr>
              <w:t>.</w:t>
            </w:r>
            <w:r>
              <w:rPr>
                <w:rFonts w:hint="eastAsia" w:ascii="黑体" w:hAnsi="黑体" w:eastAsia="黑体" w:cs="黑体"/>
                <w:sz w:val="24"/>
              </w:rPr>
              <w:t>畜禽粪污资源化利用工程</w:t>
            </w:r>
            <w:r>
              <w:rPr>
                <w:rFonts w:hint="eastAsia" w:ascii="黑体" w:hAnsi="黑体" w:eastAsia="黑体" w:cs="黑体"/>
                <w:sz w:val="24"/>
                <w:lang w:eastAsia="zh-CN"/>
              </w:rPr>
              <w:t>。</w:t>
            </w:r>
            <w:r>
              <w:rPr>
                <w:rFonts w:hint="eastAsia" w:ascii="仿宋" w:hAnsi="仿宋" w:eastAsia="仿宋" w:cs="仿宋"/>
                <w:sz w:val="24"/>
              </w:rPr>
              <w:t>依托畜禽粪污资源化利用项目，</w:t>
            </w:r>
            <w:r>
              <w:rPr>
                <w:rFonts w:hint="eastAsia" w:ascii="仿宋" w:hAnsi="仿宋" w:eastAsia="仿宋" w:cs="仿宋"/>
                <w:sz w:val="24"/>
                <w:lang w:eastAsia="zh-CN"/>
              </w:rPr>
              <w:t>开展</w:t>
            </w:r>
            <w:r>
              <w:rPr>
                <w:rFonts w:hint="eastAsia" w:ascii="仿宋" w:hAnsi="仿宋" w:eastAsia="仿宋" w:cs="仿宋"/>
                <w:sz w:val="24"/>
              </w:rPr>
              <w:t>粪污资源化利用整旗县推进</w:t>
            </w:r>
            <w:r>
              <w:rPr>
                <w:rFonts w:hint="eastAsia" w:ascii="仿宋" w:hAnsi="仿宋" w:eastAsia="仿宋" w:cs="仿宋"/>
                <w:sz w:val="24"/>
                <w:lang w:eastAsia="zh-CN"/>
              </w:rPr>
              <w:t>工作</w:t>
            </w:r>
            <w:r>
              <w:rPr>
                <w:rFonts w:hint="eastAsia" w:ascii="仿宋" w:hAnsi="仿宋" w:eastAsia="仿宋" w:cs="仿宋"/>
                <w:sz w:val="24"/>
              </w:rPr>
              <w:t>，完善畜禽粪污资源化利用基础设施与配套装备，持续提高畜禽粪污综合利用率。</w:t>
            </w:r>
          </w:p>
        </w:tc>
      </w:tr>
      <w:bookmarkEnd w:id="378"/>
    </w:tbl>
    <w:p w14:paraId="10583806">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2"/>
        </w:rPr>
      </w:pPr>
      <w:bookmarkStart w:id="379" w:name="_Toc5297"/>
      <w:bookmarkStart w:id="380" w:name="_Toc20196"/>
      <w:bookmarkStart w:id="381" w:name="_Toc1502"/>
      <w:bookmarkStart w:id="382" w:name="_Toc734447694_WPSOffice_Level2"/>
      <w:bookmarkStart w:id="383" w:name="_Toc11154"/>
      <w:r>
        <w:rPr>
          <w:rFonts w:hint="eastAsia" w:ascii="Calibri Light" w:hAnsi="Calibri Light" w:cs="Times New Roman"/>
          <w:b w:val="0"/>
          <w:bCs w:val="0"/>
          <w:sz w:val="32"/>
          <w:szCs w:val="32"/>
        </w:rPr>
        <w:t>第五节 提高公共服务供给能力</w:t>
      </w:r>
      <w:bookmarkEnd w:id="373"/>
      <w:bookmarkEnd w:id="374"/>
      <w:bookmarkEnd w:id="379"/>
      <w:bookmarkEnd w:id="380"/>
      <w:bookmarkEnd w:id="381"/>
      <w:bookmarkEnd w:id="382"/>
      <w:bookmarkEnd w:id="383"/>
    </w:p>
    <w:p w14:paraId="2066846A">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优先发展农村牧区教育事业。</w:t>
      </w:r>
      <w:r>
        <w:rPr>
          <w:rFonts w:hint="eastAsia" w:ascii="仿宋" w:hAnsi="仿宋" w:eastAsia="仿宋" w:cs="仿宋"/>
          <w:sz w:val="32"/>
          <w:szCs w:val="32"/>
        </w:rPr>
        <w:t>加强农村牧区普惠性幼儿园建设，</w:t>
      </w:r>
      <w:r>
        <w:rPr>
          <w:rFonts w:hint="eastAsia" w:ascii="仿宋" w:hAnsi="仿宋" w:eastAsia="仿宋" w:cs="仿宋"/>
          <w:sz w:val="32"/>
          <w:szCs w:val="32"/>
          <w:lang w:eastAsia="zh-CN"/>
        </w:rPr>
        <w:t>有需求</w:t>
      </w:r>
      <w:r>
        <w:rPr>
          <w:rFonts w:hint="eastAsia" w:ascii="仿宋" w:hAnsi="仿宋" w:eastAsia="仿宋" w:cs="仿宋"/>
          <w:sz w:val="32"/>
          <w:szCs w:val="32"/>
        </w:rPr>
        <w:t>的苏木乡镇至少办好1所公办幼儿园。持续改善农村牧区小规模学校、寄宿制学校办学条件，通过送教下乡、跟岗培养、城乡互动、校际互学等形式，提升教师教学能力，落实办学基本要求。建立乡村教师补充机制，通过公开招聘、农村牧区义务教育阶段学校教师特设岗位计划招聘等形式，补充配齐教师队伍，优化教师队伍结构。全面落实教师生活补贴政策，提高农村牧区教师待遇。建立县域内优质学校与农村牧区学校结对帮扶机制，发挥优质学校辐射带动作用，提升教育教学质量。完善义务教育阶段学校就近入学、电脑派位等招生录取办法，保障农牧民工随迁子女平等享受教育的</w:t>
      </w:r>
      <w:r>
        <w:rPr>
          <w:rFonts w:hint="eastAsia" w:ascii="仿宋" w:hAnsi="仿宋" w:eastAsia="仿宋" w:cs="仿宋"/>
          <w:sz w:val="32"/>
          <w:szCs w:val="32"/>
          <w:lang w:eastAsia="zh-CN"/>
        </w:rPr>
        <w:t>权利</w:t>
      </w:r>
      <w:r>
        <w:rPr>
          <w:rFonts w:hint="eastAsia" w:ascii="仿宋" w:hAnsi="仿宋" w:eastAsia="仿宋" w:cs="仿宋"/>
          <w:sz w:val="32"/>
          <w:szCs w:val="32"/>
        </w:rPr>
        <w:t>。到2025年</w:t>
      </w:r>
      <w:r>
        <w:rPr>
          <w:rFonts w:hint="eastAsia" w:ascii="仿宋" w:hAnsi="仿宋" w:eastAsia="仿宋" w:cs="仿宋"/>
          <w:sz w:val="32"/>
          <w:szCs w:val="32"/>
          <w:lang w:eastAsia="zh-CN"/>
        </w:rPr>
        <w:t>，</w:t>
      </w:r>
      <w:r>
        <w:rPr>
          <w:rFonts w:hint="eastAsia" w:ascii="仿宋" w:hAnsi="仿宋" w:eastAsia="仿宋" w:cs="仿宋"/>
          <w:sz w:val="32"/>
          <w:szCs w:val="32"/>
        </w:rPr>
        <w:t>全盟学前三年毛入园率达到95%以上，义务教育巩固率达到98%以上，加快实现义务教育优质均衡发展。</w:t>
      </w:r>
    </w:p>
    <w:p w14:paraId="252B667D">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加强健康乡村建设。</w:t>
      </w:r>
      <w:r>
        <w:rPr>
          <w:rFonts w:hint="eastAsia" w:ascii="仿宋" w:hAnsi="仿宋" w:eastAsia="仿宋" w:cs="仿宋"/>
          <w:sz w:val="32"/>
          <w:szCs w:val="32"/>
        </w:rPr>
        <w:t>坚持“大卫生、大健康”理念，推进健康农村牧区建设，落实基本公共卫生服务项目补助政策，</w:t>
      </w:r>
      <w:r>
        <w:rPr>
          <w:rFonts w:hint="eastAsia" w:ascii="仿宋" w:hAnsi="仿宋" w:eastAsia="仿宋" w:cs="仿宋"/>
          <w:sz w:val="32"/>
          <w:szCs w:val="32"/>
          <w:lang w:eastAsia="zh-CN"/>
        </w:rPr>
        <w:t>优化苏木乡镇卫生院、行政嘎查村卫生室设置</w:t>
      </w:r>
      <w:r>
        <w:rPr>
          <w:rFonts w:hint="eastAsia" w:ascii="仿宋" w:hAnsi="仿宋" w:eastAsia="仿宋" w:cs="仿宋"/>
          <w:sz w:val="32"/>
          <w:szCs w:val="32"/>
        </w:rPr>
        <w:t>，完善农村牧区基层卫生服务体系。加强全科医生培养和医共体建设，支持推动乡村医生申请执业（助理）医师资格</w:t>
      </w:r>
      <w:r>
        <w:rPr>
          <w:rFonts w:hint="eastAsia" w:ascii="仿宋" w:hAnsi="仿宋" w:eastAsia="仿宋" w:cs="仿宋"/>
          <w:sz w:val="32"/>
          <w:szCs w:val="32"/>
          <w:lang w:eastAsia="zh-CN"/>
        </w:rPr>
        <w:t>。</w:t>
      </w:r>
      <w:r>
        <w:rPr>
          <w:rFonts w:hint="eastAsia" w:ascii="仿宋" w:hAnsi="仿宋" w:eastAsia="仿宋" w:cs="仿宋"/>
          <w:sz w:val="32"/>
          <w:szCs w:val="32"/>
        </w:rPr>
        <w:t>提高基层卫生服务水平和服务能力，依托“互联网+医疗”，为农牧民</w:t>
      </w:r>
      <w:r>
        <w:rPr>
          <w:rFonts w:hint="eastAsia" w:ascii="仿宋" w:hAnsi="仿宋" w:eastAsia="仿宋" w:cs="仿宋"/>
          <w:sz w:val="32"/>
          <w:szCs w:val="32"/>
          <w:lang w:eastAsia="zh-CN"/>
        </w:rPr>
        <w:t>提供</w:t>
      </w:r>
      <w:r>
        <w:rPr>
          <w:rFonts w:hint="eastAsia" w:ascii="仿宋" w:hAnsi="仿宋" w:eastAsia="仿宋" w:cs="仿宋"/>
          <w:sz w:val="32"/>
          <w:szCs w:val="32"/>
        </w:rPr>
        <w:t>优质便捷的服务。进一步健全基层中医药（蒙医药）服务网络，创新中医药（蒙医药）人才培养模式，推广中医药（蒙医药）适宜技术，拓展基本公共卫生中医药（蒙医药）健康管理服务项目，促进基层中医药（蒙医药）事业发展</w:t>
      </w:r>
      <w:r>
        <w:rPr>
          <w:rFonts w:hint="eastAsia" w:ascii="仿宋" w:hAnsi="仿宋" w:eastAsia="仿宋" w:cs="仿宋"/>
          <w:sz w:val="32"/>
          <w:szCs w:val="32"/>
          <w:lang w:eastAsia="zh-CN"/>
        </w:rPr>
        <w:t>。</w:t>
      </w:r>
      <w:r>
        <w:rPr>
          <w:rFonts w:hint="eastAsia" w:ascii="仿宋" w:hAnsi="仿宋" w:eastAsia="仿宋" w:cs="仿宋"/>
          <w:sz w:val="32"/>
          <w:szCs w:val="32"/>
        </w:rPr>
        <w:t>深入开展健康素养提升行动，加强健康教育宣传，做好农牧区新冠肺炎、鼠疫等疫情防控常态化工作，加大重大传染病、地方病和慢性病防控力度。推动全民健身运动进农村牧区，深入开展农村牧区爱国卫生运动。开展和规范家庭医生签约服务，对农村牧区常住低收入人口高血压、糖尿病、结核病、严重精神障碍等4种慢病</w:t>
      </w:r>
      <w:r>
        <w:rPr>
          <w:rFonts w:hint="eastAsia" w:ascii="仿宋" w:hAnsi="仿宋" w:eastAsia="仿宋" w:cs="仿宋"/>
          <w:sz w:val="32"/>
          <w:szCs w:val="32"/>
          <w:lang w:eastAsia="zh-CN"/>
        </w:rPr>
        <w:t>和布病</w:t>
      </w:r>
      <w:r>
        <w:rPr>
          <w:rFonts w:hint="eastAsia" w:ascii="仿宋" w:hAnsi="仿宋" w:eastAsia="仿宋" w:cs="仿宋"/>
          <w:sz w:val="32"/>
          <w:szCs w:val="32"/>
        </w:rPr>
        <w:t>患者</w:t>
      </w:r>
      <w:r>
        <w:rPr>
          <w:rFonts w:hint="eastAsia" w:ascii="仿宋" w:hAnsi="仿宋" w:eastAsia="仿宋" w:cs="仿宋"/>
          <w:sz w:val="32"/>
          <w:szCs w:val="32"/>
          <w:lang w:eastAsia="zh-CN"/>
        </w:rPr>
        <w:t>，</w:t>
      </w:r>
      <w:r>
        <w:rPr>
          <w:rFonts w:hint="eastAsia" w:ascii="仿宋" w:hAnsi="仿宋" w:eastAsia="仿宋" w:cs="仿宋"/>
          <w:sz w:val="32"/>
          <w:szCs w:val="32"/>
        </w:rPr>
        <w:t>做到“应签尽签”</w:t>
      </w:r>
      <w:r>
        <w:rPr>
          <w:rFonts w:hint="eastAsia" w:ascii="仿宋" w:hAnsi="仿宋" w:eastAsia="仿宋" w:cs="仿宋"/>
          <w:sz w:val="32"/>
          <w:szCs w:val="32"/>
          <w:lang w:eastAsia="zh-CN"/>
        </w:rPr>
        <w:t>。</w:t>
      </w:r>
      <w:r>
        <w:rPr>
          <w:rFonts w:hint="eastAsia" w:ascii="仿宋" w:hAnsi="仿宋" w:eastAsia="仿宋" w:cs="仿宋"/>
          <w:sz w:val="32"/>
          <w:szCs w:val="32"/>
        </w:rPr>
        <w:t>到2025年，全盟苏木乡镇卫生院、社区卫生服务中心中医药（蒙医药）服务覆盖率达到100%，农村牧区医疗卫生服务得到有力保障。</w:t>
      </w:r>
    </w:p>
    <w:p w14:paraId="2D35F5D0">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提升公共文化服务能力。</w:t>
      </w:r>
      <w:r>
        <w:rPr>
          <w:rFonts w:hint="eastAsia" w:ascii="仿宋" w:hAnsi="仿宋" w:eastAsia="仿宋" w:cs="仿宋"/>
          <w:sz w:val="32"/>
          <w:szCs w:val="32"/>
        </w:rPr>
        <w:t>抓好农村牧区文化惠民工程</w:t>
      </w:r>
      <w:r>
        <w:rPr>
          <w:rFonts w:hint="eastAsia" w:ascii="仿宋" w:hAnsi="仿宋" w:eastAsia="仿宋" w:cs="仿宋"/>
          <w:sz w:val="32"/>
          <w:szCs w:val="32"/>
          <w:lang w:eastAsia="zh-CN"/>
        </w:rPr>
        <w:t>，加强</w:t>
      </w:r>
      <w:r>
        <w:rPr>
          <w:rFonts w:hint="eastAsia" w:ascii="仿宋" w:hAnsi="仿宋" w:eastAsia="仿宋" w:cs="仿宋"/>
          <w:sz w:val="32"/>
          <w:szCs w:val="32"/>
        </w:rPr>
        <w:t>乡土文化人才培养，</w:t>
      </w:r>
      <w:r>
        <w:rPr>
          <w:rFonts w:hint="eastAsia" w:ascii="仿宋" w:hAnsi="仿宋" w:eastAsia="仿宋" w:cs="仿宋"/>
          <w:sz w:val="32"/>
          <w:szCs w:val="32"/>
          <w:lang w:eastAsia="zh-CN"/>
        </w:rPr>
        <w:t>强化</w:t>
      </w:r>
      <w:r>
        <w:rPr>
          <w:rFonts w:hint="eastAsia" w:ascii="仿宋" w:hAnsi="仿宋" w:eastAsia="仿宋" w:cs="仿宋"/>
          <w:sz w:val="32"/>
          <w:szCs w:val="32"/>
        </w:rPr>
        <w:t>健康文化教育</w:t>
      </w:r>
      <w:r>
        <w:rPr>
          <w:rFonts w:hint="eastAsia" w:ascii="仿宋" w:hAnsi="仿宋" w:eastAsia="仿宋" w:cs="仿宋"/>
          <w:sz w:val="32"/>
          <w:szCs w:val="32"/>
          <w:lang w:eastAsia="zh-CN"/>
        </w:rPr>
        <w:t>，</w:t>
      </w:r>
      <w:r>
        <w:rPr>
          <w:rFonts w:hint="eastAsia" w:ascii="仿宋" w:hAnsi="仿宋" w:eastAsia="仿宋" w:cs="仿宋"/>
          <w:sz w:val="32"/>
          <w:szCs w:val="32"/>
        </w:rPr>
        <w:t>提高农牧民健康素养。完善公共文化设施网络，以公共图书馆、文化馆、博物馆、村(社区)综合性文化服务中心为重点，以流动文化设施和数字文化设施为补充，统筹规划，均衡配置，推动各级公共文化设施基本达到国家建设标准。采取盘活存量、调整置换、集中利用等方式，着力推进苏木</w:t>
      </w:r>
      <w:r>
        <w:rPr>
          <w:rFonts w:hint="eastAsia" w:ascii="仿宋" w:hAnsi="仿宋" w:eastAsia="仿宋" w:cs="仿宋"/>
          <w:sz w:val="32"/>
          <w:szCs w:val="32"/>
          <w:lang w:eastAsia="zh-CN"/>
        </w:rPr>
        <w:t>乡</w:t>
      </w:r>
      <w:r>
        <w:rPr>
          <w:rFonts w:hint="eastAsia" w:ascii="仿宋" w:hAnsi="仿宋" w:eastAsia="仿宋" w:cs="仿宋"/>
          <w:sz w:val="32"/>
          <w:szCs w:val="32"/>
        </w:rPr>
        <w:t>镇(街道)和嘎查村(社区)综合性文化服务中心建设。到2025年，以政府主导、社会力量参与的现代公共文化服务体系进一步健全，农村牧区公共文化服务标准化、均等化水平进一步提高，农牧民公共文化活动权益和需求得到全面保障。</w:t>
      </w:r>
    </w:p>
    <w:p w14:paraId="57A19B02">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推进社会保障体系建设。</w:t>
      </w:r>
      <w:r>
        <w:rPr>
          <w:rFonts w:hint="eastAsia" w:ascii="仿宋" w:hAnsi="仿宋" w:eastAsia="仿宋" w:cs="仿宋"/>
          <w:sz w:val="32"/>
          <w:szCs w:val="32"/>
        </w:rPr>
        <w:t>完善社会救助体系，推进低保制度城乡统筹发展，强化城乡低保规范管理，健全低保标准动态调整机制。</w:t>
      </w:r>
      <w:r>
        <w:rPr>
          <w:rFonts w:hint="eastAsia" w:ascii="仿宋" w:hAnsi="仿宋" w:eastAsia="仿宋" w:cs="仿宋"/>
          <w:sz w:val="32"/>
          <w:szCs w:val="32"/>
          <w:lang w:eastAsia="zh-CN"/>
        </w:rPr>
        <w:t>完善</w:t>
      </w:r>
      <w:r>
        <w:rPr>
          <w:rFonts w:hint="eastAsia" w:ascii="仿宋" w:hAnsi="仿宋" w:eastAsia="仿宋" w:cs="仿宋"/>
          <w:sz w:val="32"/>
          <w:szCs w:val="32"/>
        </w:rPr>
        <w:t>覆盖全民、城乡统筹、</w:t>
      </w:r>
      <w:r>
        <w:rPr>
          <w:rFonts w:hint="eastAsia" w:ascii="仿宋" w:hAnsi="仿宋" w:eastAsia="仿宋" w:cs="仿宋"/>
          <w:sz w:val="32"/>
          <w:szCs w:val="32"/>
          <w:lang w:eastAsia="zh-CN"/>
        </w:rPr>
        <w:t>公平统一</w:t>
      </w:r>
      <w:r>
        <w:rPr>
          <w:rFonts w:hint="eastAsia" w:ascii="仿宋" w:hAnsi="仿宋" w:eastAsia="仿宋" w:cs="仿宋"/>
          <w:sz w:val="32"/>
          <w:szCs w:val="32"/>
        </w:rPr>
        <w:t>、保障适度、可持续的多层次医疗保障体系。完善居民基本养老保险制度和缴费补贴政策，稳步提高基础养老金标准。健全县乡村衔接的三级养老服务网络，推进</w:t>
      </w:r>
      <w:r>
        <w:rPr>
          <w:rFonts w:hint="eastAsia" w:ascii="仿宋" w:hAnsi="仿宋" w:eastAsia="仿宋" w:cs="仿宋"/>
          <w:sz w:val="32"/>
          <w:szCs w:val="32"/>
          <w:lang w:eastAsia="zh-CN"/>
        </w:rPr>
        <w:t>苏木</w:t>
      </w:r>
      <w:r>
        <w:rPr>
          <w:rFonts w:hint="eastAsia" w:ascii="仿宋" w:hAnsi="仿宋" w:eastAsia="仿宋" w:cs="仿宋"/>
          <w:sz w:val="32"/>
          <w:szCs w:val="32"/>
        </w:rPr>
        <w:t>乡镇敬老院升级改造，推广农村牧区“互助幸福院”和牧民养老园区集中养老模式，加强农村牧区区域性综合敬老院建设。</w:t>
      </w:r>
      <w:bookmarkEnd w:id="375"/>
      <w:bookmarkEnd w:id="376"/>
      <w:bookmarkEnd w:id="377"/>
    </w:p>
    <w:p w14:paraId="4710A3FA">
      <w:pPr>
        <w:pStyle w:val="2"/>
        <w:pageBreakBefore w:val="0"/>
        <w:widowControl w:val="0"/>
        <w:kinsoku/>
        <w:wordWrap/>
        <w:overflowPunct/>
        <w:topLinePunct w:val="0"/>
        <w:autoSpaceDE/>
        <w:autoSpaceDN/>
        <w:bidi w:val="0"/>
        <w:adjustRightInd/>
        <w:snapToGrid/>
        <w:spacing w:after="156" w:afterLines="50" w:line="600" w:lineRule="exact"/>
        <w:ind w:firstLine="643" w:firstLineChars="200"/>
        <w:textAlignment w:val="auto"/>
        <w:rPr>
          <w:sz w:val="32"/>
          <w:szCs w:val="32"/>
        </w:rPr>
      </w:pPr>
      <w:r>
        <w:rPr>
          <w:rFonts w:hint="eastAsia" w:ascii="仿宋" w:hAnsi="仿宋" w:eastAsia="仿宋" w:cs="仿宋"/>
          <w:b/>
          <w:bCs/>
          <w:sz w:val="32"/>
          <w:szCs w:val="32"/>
        </w:rPr>
        <w:t>提升嘎查村级综合服务能力。</w:t>
      </w:r>
      <w:r>
        <w:rPr>
          <w:rFonts w:hint="eastAsia" w:ascii="仿宋" w:hAnsi="仿宋" w:eastAsia="仿宋" w:cs="仿宋"/>
          <w:sz w:val="32"/>
          <w:szCs w:val="32"/>
        </w:rPr>
        <w:t>加强</w:t>
      </w:r>
      <w:r>
        <w:rPr>
          <w:rFonts w:hint="eastAsia" w:ascii="仿宋" w:hAnsi="仿宋" w:eastAsia="仿宋" w:cstheme="minorBidi"/>
          <w:sz w:val="32"/>
          <w:szCs w:val="32"/>
          <w:lang w:eastAsia="zh-CN"/>
        </w:rPr>
        <w:t>嘎查</w:t>
      </w:r>
      <w:r>
        <w:rPr>
          <w:rFonts w:hint="eastAsia" w:ascii="仿宋" w:hAnsi="仿宋" w:eastAsia="仿宋" w:cstheme="minorBidi"/>
          <w:sz w:val="32"/>
          <w:szCs w:val="32"/>
        </w:rPr>
        <w:t>村级综合服务设施建设，完善便民服务设施。制定</w:t>
      </w:r>
      <w:r>
        <w:rPr>
          <w:rFonts w:hint="eastAsia" w:ascii="仿宋" w:hAnsi="仿宋" w:eastAsia="仿宋" w:cstheme="minorBidi"/>
          <w:sz w:val="32"/>
          <w:szCs w:val="32"/>
          <w:lang w:eastAsia="zh-CN"/>
        </w:rPr>
        <w:t>嘎查</w:t>
      </w:r>
      <w:r>
        <w:rPr>
          <w:rFonts w:hint="eastAsia" w:ascii="仿宋" w:hAnsi="仿宋" w:eastAsia="仿宋" w:cstheme="minorBidi"/>
          <w:sz w:val="32"/>
          <w:szCs w:val="32"/>
        </w:rPr>
        <w:t>村级公共服务目录和代办政务服务指导目录，提供就业担保、社会救助、卫生健康、法律咨询等公共服务。健全农村牧区留守儿童、妇女、老年人、残疾人以及困境儿童关爱服务体系。加快苏木乡镇社会工作服务站建设，吸引社会工作人才提供专业服务。加快补齐殡葬基础设施短板，实现旗县殡仪馆全覆盖。</w:t>
      </w:r>
    </w:p>
    <w:tbl>
      <w:tblPr>
        <w:tblStyle w:val="26"/>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8522"/>
      </w:tblGrid>
      <w:tr w14:paraId="1D2744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55" w:hRule="atLeast"/>
          <w:jc w:val="center"/>
        </w:trPr>
        <w:tc>
          <w:tcPr>
            <w:tcW w:w="8522" w:type="dxa"/>
            <w:tcBorders>
              <w:bottom w:val="single" w:color="auto" w:sz="4" w:space="0"/>
              <w:tl2br w:val="nil"/>
              <w:tr2bl w:val="nil"/>
            </w:tcBorders>
            <w:shd w:val="clear" w:color="auto" w:fill="FFFFFF" w:themeFill="background1"/>
          </w:tcPr>
          <w:p w14:paraId="10BB4C37">
            <w:pPr>
              <w:spacing w:line="540" w:lineRule="exact"/>
              <w:ind w:left="210" w:right="210"/>
              <w:jc w:val="center"/>
              <w:rPr>
                <w:rFonts w:hint="eastAsia" w:ascii="宋体" w:hAnsi="宋体" w:eastAsia="黑体"/>
                <w:kern w:val="0"/>
                <w:sz w:val="28"/>
                <w:szCs w:val="28"/>
                <w:lang w:eastAsia="zh-CN"/>
              </w:rPr>
            </w:pPr>
            <w:r>
              <w:rPr>
                <w:rFonts w:hint="eastAsia" w:ascii="黑体" w:hAnsi="黑体" w:eastAsia="黑体" w:cs="黑体"/>
                <w:b w:val="0"/>
                <w:bCs w:val="0"/>
                <w:kern w:val="0"/>
                <w:sz w:val="28"/>
                <w:szCs w:val="28"/>
              </w:rPr>
              <w:t>专栏</w:t>
            </w:r>
            <w:r>
              <w:rPr>
                <w:rFonts w:hint="eastAsia" w:ascii="黑体" w:hAnsi="黑体" w:eastAsia="黑体" w:cs="黑体"/>
                <w:b w:val="0"/>
                <w:bCs w:val="0"/>
                <w:kern w:val="0"/>
                <w:sz w:val="28"/>
                <w:szCs w:val="28"/>
                <w:lang w:val="en-US" w:eastAsia="zh-CN"/>
              </w:rPr>
              <w:t>6</w:t>
            </w:r>
            <w:r>
              <w:rPr>
                <w:rFonts w:hint="eastAsia" w:ascii="黑体" w:hAnsi="黑体" w:eastAsia="黑体" w:cs="黑体"/>
                <w:b w:val="0"/>
                <w:bCs w:val="0"/>
                <w:kern w:val="0"/>
                <w:sz w:val="28"/>
                <w:szCs w:val="28"/>
              </w:rPr>
              <w:t xml:space="preserve">  </w:t>
            </w:r>
            <w:r>
              <w:rPr>
                <w:rFonts w:hint="eastAsia" w:ascii="黑体" w:hAnsi="黑体" w:eastAsia="黑体" w:cs="黑体"/>
                <w:b w:val="0"/>
                <w:bCs w:val="0"/>
                <w:kern w:val="0"/>
                <w:sz w:val="28"/>
                <w:szCs w:val="28"/>
                <w:lang w:eastAsia="zh-CN"/>
              </w:rPr>
              <w:t>农村牧区基本公共服务提升工程</w:t>
            </w:r>
          </w:p>
        </w:tc>
      </w:tr>
      <w:tr w14:paraId="5078F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8522" w:type="dxa"/>
            <w:tcBorders>
              <w:top w:val="single" w:color="auto" w:sz="4" w:space="0"/>
              <w:bottom w:val="single" w:color="auto" w:sz="4" w:space="0"/>
              <w:tl2br w:val="nil"/>
              <w:tr2bl w:val="nil"/>
            </w:tcBorders>
            <w:shd w:val="clear" w:color="auto" w:fill="FFFFFF" w:themeFill="background1"/>
          </w:tcPr>
          <w:p w14:paraId="6B06E0FB">
            <w:pPr>
              <w:keepNext w:val="0"/>
              <w:keepLines w:val="0"/>
              <w:pageBreakBefore w:val="0"/>
              <w:widowControl/>
              <w:kinsoku/>
              <w:wordWrap/>
              <w:overflowPunct/>
              <w:topLinePunct w:val="0"/>
              <w:autoSpaceDE/>
              <w:autoSpaceDN/>
              <w:bidi w:val="0"/>
              <w:adjustRightInd/>
              <w:snapToGrid/>
              <w:spacing w:line="380" w:lineRule="exact"/>
              <w:ind w:left="210" w:right="210" w:firstLine="480" w:firstLineChars="200"/>
              <w:jc w:val="left"/>
              <w:textAlignment w:val="auto"/>
              <w:rPr>
                <w:rFonts w:hint="eastAsia" w:ascii="仿宋" w:hAnsi="仿宋" w:eastAsia="仿宋" w:cs="仿宋"/>
                <w:sz w:val="24"/>
              </w:rPr>
            </w:pPr>
            <w:r>
              <w:rPr>
                <w:rFonts w:hint="eastAsia" w:ascii="黑体" w:hAnsi="黑体" w:eastAsia="黑体" w:cs="黑体"/>
                <w:sz w:val="24"/>
              </w:rPr>
              <w:t>1.农村牧区教育质量提升行动。</w:t>
            </w:r>
            <w:r>
              <w:rPr>
                <w:rFonts w:hint="eastAsia" w:ascii="仿宋" w:hAnsi="仿宋" w:eastAsia="仿宋" w:cs="仿宋"/>
                <w:sz w:val="24"/>
              </w:rPr>
              <w:t>加强农村牧区普惠性幼儿园或学前教育服务点建设，有需要的苏木乡镇至少办好1所公办幼儿园。支持每个旗县（市、区）至少办好1所优质普通高中。均衡配置县域教师资源，全面落实乡村教师乡镇工作补贴、集中连片特困地区生活补助和艰苦边远地区津贴等政策。</w:t>
            </w:r>
          </w:p>
          <w:p w14:paraId="2E99DE7A">
            <w:pPr>
              <w:keepNext w:val="0"/>
              <w:keepLines w:val="0"/>
              <w:pageBreakBefore w:val="0"/>
              <w:widowControl/>
              <w:kinsoku/>
              <w:wordWrap/>
              <w:overflowPunct/>
              <w:topLinePunct w:val="0"/>
              <w:autoSpaceDE/>
              <w:autoSpaceDN/>
              <w:bidi w:val="0"/>
              <w:adjustRightInd/>
              <w:snapToGrid/>
              <w:spacing w:line="380" w:lineRule="exact"/>
              <w:ind w:left="210" w:right="210" w:firstLine="480" w:firstLineChars="200"/>
              <w:jc w:val="left"/>
              <w:textAlignment w:val="auto"/>
              <w:rPr>
                <w:rFonts w:hint="eastAsia" w:ascii="仿宋" w:hAnsi="仿宋" w:eastAsia="仿宋" w:cs="仿宋"/>
                <w:sz w:val="24"/>
              </w:rPr>
            </w:pPr>
            <w:r>
              <w:rPr>
                <w:rFonts w:hint="eastAsia" w:ascii="黑体" w:hAnsi="黑体" w:eastAsia="黑体" w:cs="黑体"/>
                <w:sz w:val="24"/>
              </w:rPr>
              <w:t>2.乡村健康服务提升行动。</w:t>
            </w:r>
            <w:r>
              <w:rPr>
                <w:rFonts w:hint="eastAsia" w:ascii="仿宋" w:hAnsi="仿宋" w:eastAsia="仿宋" w:cs="仿宋"/>
                <w:sz w:val="24"/>
              </w:rPr>
              <w:t>加强嘎查村级卫生室标准化建设，依托现有资源，选建一批中心卫生院，建设一批农村牧区县域医疗卫生次中心。加快县域紧密型医共体建设，提高旗县级医院医疗服务水平。推动旗县级妇幼保健机构提高服务能力。</w:t>
            </w:r>
          </w:p>
          <w:p w14:paraId="5884F82E">
            <w:pPr>
              <w:keepNext w:val="0"/>
              <w:keepLines w:val="0"/>
              <w:pageBreakBefore w:val="0"/>
              <w:widowControl/>
              <w:kinsoku/>
              <w:wordWrap/>
              <w:overflowPunct/>
              <w:topLinePunct w:val="0"/>
              <w:autoSpaceDE/>
              <w:autoSpaceDN/>
              <w:bidi w:val="0"/>
              <w:adjustRightInd/>
              <w:snapToGrid/>
              <w:spacing w:line="380" w:lineRule="exact"/>
              <w:ind w:left="210" w:right="210" w:firstLine="480" w:firstLineChars="200"/>
              <w:jc w:val="left"/>
              <w:textAlignment w:val="auto"/>
            </w:pPr>
            <w:r>
              <w:rPr>
                <w:rFonts w:hint="eastAsia" w:ascii="黑体" w:hAnsi="黑体" w:eastAsia="黑体" w:cs="黑体"/>
                <w:sz w:val="24"/>
              </w:rPr>
              <w:t>3.农村牧区养老服务体系建设行动。</w:t>
            </w:r>
            <w:r>
              <w:rPr>
                <w:rFonts w:hint="eastAsia" w:ascii="仿宋" w:hAnsi="仿宋" w:eastAsia="仿宋" w:cs="仿宋"/>
                <w:sz w:val="24"/>
              </w:rPr>
              <w:t>提升旗县级特困供养服务机构失能照护和集中供养能力，每个旗县至少建有1所县级供养服务机构。拓展苏木乡镇敬老院区域养老服务中心功能，完善嘎查村级互助养老服务设施，解决农村牧区老年人生活照料、就餐就医等问题。</w:t>
            </w:r>
          </w:p>
        </w:tc>
      </w:tr>
    </w:tbl>
    <w:p w14:paraId="1F436A0E">
      <w:pPr>
        <w:spacing w:after="156" w:afterLines="50" w:line="540" w:lineRule="exact"/>
        <w:ind w:firstLine="420" w:firstLineChars="200"/>
        <w:rPr>
          <w:rFonts w:ascii="仿宋" w:hAnsi="仿宋" w:eastAsia="仿宋" w:cstheme="minorBidi"/>
        </w:rPr>
      </w:pPr>
    </w:p>
    <w:p w14:paraId="717C6BEE">
      <w:pPr>
        <w:pStyle w:val="3"/>
        <w:snapToGrid w:val="0"/>
        <w:spacing w:before="312" w:beforeLines="100" w:after="312" w:afterLines="100" w:line="540" w:lineRule="exact"/>
        <w:jc w:val="center"/>
        <w:rPr>
          <w:rFonts w:hint="eastAsia" w:ascii="方正小标宋简体" w:hAnsi="仿宋" w:eastAsia="方正小标宋简体" w:cs="黑体"/>
          <w:b w:val="0"/>
          <w:color w:val="000000" w:themeColor="text1"/>
          <w:sz w:val="32"/>
          <w:szCs w:val="32"/>
        </w:rPr>
      </w:pPr>
      <w:bookmarkStart w:id="384" w:name="_Toc1842"/>
      <w:bookmarkStart w:id="385" w:name="_Toc59000551"/>
      <w:bookmarkStart w:id="386" w:name="_Toc21610"/>
      <w:bookmarkStart w:id="387" w:name="_Toc8545"/>
      <w:bookmarkStart w:id="388" w:name="_Toc57041438"/>
      <w:bookmarkStart w:id="389" w:name="_Toc58870166"/>
      <w:bookmarkStart w:id="390" w:name="_Toc28596"/>
      <w:bookmarkStart w:id="391" w:name="_Toc14252"/>
      <w:bookmarkStart w:id="392" w:name="_Toc31308"/>
    </w:p>
    <w:p w14:paraId="7BA5FE75">
      <w:pPr>
        <w:rPr>
          <w:rFonts w:hint="eastAsia" w:ascii="方正小标宋简体" w:hAnsi="仿宋" w:eastAsia="方正小标宋简体" w:cs="黑体"/>
          <w:b w:val="0"/>
          <w:color w:val="000000" w:themeColor="text1"/>
          <w:sz w:val="32"/>
          <w:szCs w:val="32"/>
        </w:rPr>
      </w:pPr>
    </w:p>
    <w:p w14:paraId="2633CC44">
      <w:pPr>
        <w:pStyle w:val="2"/>
        <w:rPr>
          <w:rFonts w:hint="eastAsia" w:ascii="方正小标宋简体" w:hAnsi="仿宋" w:eastAsia="方正小标宋简体" w:cs="黑体"/>
          <w:b w:val="0"/>
          <w:color w:val="000000" w:themeColor="text1"/>
          <w:sz w:val="32"/>
          <w:szCs w:val="32"/>
        </w:rPr>
      </w:pPr>
    </w:p>
    <w:p w14:paraId="04B6AB3A">
      <w:pPr>
        <w:rPr>
          <w:rFonts w:hint="eastAsia" w:ascii="方正小标宋简体" w:hAnsi="仿宋" w:eastAsia="方正小标宋简体" w:cs="黑体"/>
          <w:b w:val="0"/>
          <w:color w:val="000000" w:themeColor="text1"/>
          <w:sz w:val="32"/>
          <w:szCs w:val="32"/>
        </w:rPr>
      </w:pPr>
    </w:p>
    <w:p w14:paraId="01A1E8E3">
      <w:pPr>
        <w:pStyle w:val="2"/>
        <w:rPr>
          <w:rFonts w:hint="eastAsia" w:ascii="方正小标宋简体" w:hAnsi="仿宋" w:eastAsia="方正小标宋简体" w:cs="黑体"/>
          <w:b w:val="0"/>
          <w:color w:val="000000" w:themeColor="text1"/>
          <w:sz w:val="32"/>
          <w:szCs w:val="32"/>
        </w:rPr>
      </w:pPr>
    </w:p>
    <w:p w14:paraId="1E5B1323">
      <w:pPr>
        <w:rPr>
          <w:rFonts w:hint="eastAsia" w:ascii="方正小标宋简体" w:hAnsi="仿宋" w:eastAsia="方正小标宋简体" w:cs="黑体"/>
          <w:b w:val="0"/>
          <w:color w:val="000000" w:themeColor="text1"/>
          <w:sz w:val="32"/>
          <w:szCs w:val="32"/>
        </w:rPr>
      </w:pPr>
    </w:p>
    <w:p w14:paraId="39DF54A2">
      <w:pPr>
        <w:pStyle w:val="2"/>
        <w:rPr>
          <w:rFonts w:hint="eastAsia" w:ascii="方正小标宋简体" w:hAnsi="仿宋" w:eastAsia="方正小标宋简体" w:cs="黑体"/>
          <w:b w:val="0"/>
          <w:color w:val="000000" w:themeColor="text1"/>
          <w:sz w:val="32"/>
          <w:szCs w:val="32"/>
        </w:rPr>
      </w:pPr>
    </w:p>
    <w:p w14:paraId="3294FC31">
      <w:pPr>
        <w:rPr>
          <w:rFonts w:hint="eastAsia" w:ascii="方正小标宋简体" w:hAnsi="仿宋" w:eastAsia="方正小标宋简体" w:cs="黑体"/>
          <w:b w:val="0"/>
          <w:color w:val="000000" w:themeColor="text1"/>
          <w:sz w:val="32"/>
          <w:szCs w:val="32"/>
        </w:rPr>
      </w:pPr>
    </w:p>
    <w:p w14:paraId="0E4B153F">
      <w:pPr>
        <w:pStyle w:val="2"/>
        <w:rPr>
          <w:rFonts w:hint="eastAsia"/>
        </w:rPr>
      </w:pPr>
    </w:p>
    <w:p w14:paraId="498EE3E9">
      <w:pPr>
        <w:pStyle w:val="2"/>
        <w:rPr>
          <w:rFonts w:hint="eastAsia" w:ascii="方正小标宋简体" w:hAnsi="仿宋" w:eastAsia="方正小标宋简体" w:cs="黑体"/>
          <w:b w:val="0"/>
          <w:color w:val="000000" w:themeColor="text1"/>
          <w:sz w:val="32"/>
          <w:szCs w:val="32"/>
        </w:rPr>
      </w:pPr>
    </w:p>
    <w:p w14:paraId="7566E2EC">
      <w:pPr>
        <w:rPr>
          <w:rFonts w:hint="eastAsia" w:ascii="方正小标宋简体" w:hAnsi="仿宋" w:eastAsia="方正小标宋简体" w:cs="黑体"/>
          <w:b w:val="0"/>
          <w:color w:val="000000" w:themeColor="text1"/>
          <w:sz w:val="32"/>
          <w:szCs w:val="32"/>
        </w:rPr>
      </w:pPr>
    </w:p>
    <w:p w14:paraId="4A16E2CF">
      <w:pPr>
        <w:pStyle w:val="2"/>
        <w:rPr>
          <w:rFonts w:hint="eastAsia" w:ascii="方正小标宋简体" w:hAnsi="仿宋" w:eastAsia="方正小标宋简体" w:cs="黑体"/>
          <w:b w:val="0"/>
          <w:color w:val="000000" w:themeColor="text1"/>
          <w:sz w:val="32"/>
          <w:szCs w:val="32"/>
        </w:rPr>
      </w:pPr>
    </w:p>
    <w:p w14:paraId="4D332B64">
      <w:pPr>
        <w:rPr>
          <w:rFonts w:hint="eastAsia" w:ascii="方正小标宋简体" w:hAnsi="仿宋" w:eastAsia="方正小标宋简体" w:cs="黑体"/>
          <w:b w:val="0"/>
          <w:color w:val="000000" w:themeColor="text1"/>
          <w:sz w:val="32"/>
          <w:szCs w:val="32"/>
        </w:rPr>
      </w:pPr>
    </w:p>
    <w:p w14:paraId="6D00D91E">
      <w:pPr>
        <w:pStyle w:val="2"/>
        <w:rPr>
          <w:rFonts w:hint="eastAsia" w:ascii="方正小标宋简体" w:hAnsi="仿宋" w:eastAsia="方正小标宋简体" w:cs="黑体"/>
          <w:b w:val="0"/>
          <w:color w:val="000000" w:themeColor="text1"/>
          <w:sz w:val="32"/>
          <w:szCs w:val="32"/>
        </w:rPr>
      </w:pPr>
    </w:p>
    <w:p w14:paraId="49A69C42">
      <w:pPr>
        <w:rPr>
          <w:rFonts w:hint="eastAsia" w:ascii="方正小标宋简体" w:hAnsi="仿宋" w:eastAsia="方正小标宋简体" w:cs="黑体"/>
          <w:b w:val="0"/>
          <w:color w:val="000000" w:themeColor="text1"/>
          <w:sz w:val="32"/>
          <w:szCs w:val="32"/>
        </w:rPr>
      </w:pPr>
    </w:p>
    <w:p w14:paraId="47B48231">
      <w:pPr>
        <w:pStyle w:val="2"/>
        <w:rPr>
          <w:rFonts w:hint="eastAsia" w:ascii="方正小标宋简体" w:hAnsi="仿宋" w:eastAsia="方正小标宋简体" w:cs="黑体"/>
          <w:b w:val="0"/>
          <w:color w:val="000000" w:themeColor="text1"/>
          <w:sz w:val="32"/>
          <w:szCs w:val="32"/>
        </w:rPr>
      </w:pPr>
    </w:p>
    <w:p w14:paraId="6DD4E28A">
      <w:pPr>
        <w:rPr>
          <w:rFonts w:hint="eastAsia"/>
        </w:rPr>
      </w:pPr>
    </w:p>
    <w:p w14:paraId="1EC75E47">
      <w:pPr>
        <w:pStyle w:val="3"/>
        <w:snapToGrid w:val="0"/>
        <w:spacing w:before="312" w:beforeLines="100" w:after="312" w:afterLines="100" w:line="540" w:lineRule="exact"/>
        <w:jc w:val="center"/>
        <w:rPr>
          <w:rFonts w:hint="eastAsia" w:ascii="方正小标宋简体" w:hAnsi="仿宋" w:eastAsia="方正小标宋简体" w:cs="黑体"/>
          <w:b w:val="0"/>
          <w:color w:val="000000" w:themeColor="text1"/>
          <w:sz w:val="32"/>
          <w:szCs w:val="32"/>
        </w:rPr>
      </w:pPr>
      <w:bookmarkStart w:id="393" w:name="_Toc694231440_WPSOffice_Level1"/>
    </w:p>
    <w:p w14:paraId="57C093C7">
      <w:pPr>
        <w:pStyle w:val="3"/>
        <w:snapToGrid w:val="0"/>
        <w:spacing w:before="312" w:beforeLines="100" w:after="312" w:afterLines="100" w:line="540" w:lineRule="exact"/>
        <w:jc w:val="center"/>
        <w:rPr>
          <w:rFonts w:ascii="方正小标宋简体" w:hAnsi="仿宋" w:eastAsia="方正小标宋简体" w:cs="黑体"/>
          <w:b w:val="0"/>
          <w:color w:val="000000" w:themeColor="text1"/>
          <w:sz w:val="44"/>
          <w:szCs w:val="44"/>
        </w:rPr>
      </w:pPr>
      <w:r>
        <w:rPr>
          <w:rFonts w:hint="eastAsia" w:ascii="方正小标宋简体" w:hAnsi="仿宋" w:eastAsia="方正小标宋简体" w:cs="黑体"/>
          <w:b w:val="0"/>
          <w:color w:val="000000" w:themeColor="text1"/>
          <w:sz w:val="44"/>
          <w:szCs w:val="44"/>
        </w:rPr>
        <w:t>第七章 深化农村牧区改革</w:t>
      </w:r>
      <w:bookmarkEnd w:id="384"/>
      <w:bookmarkEnd w:id="385"/>
      <w:bookmarkEnd w:id="386"/>
      <w:bookmarkEnd w:id="387"/>
      <w:bookmarkEnd w:id="388"/>
      <w:bookmarkEnd w:id="389"/>
      <w:bookmarkEnd w:id="390"/>
      <w:bookmarkEnd w:id="391"/>
      <w:bookmarkEnd w:id="392"/>
      <w:bookmarkEnd w:id="393"/>
    </w:p>
    <w:p w14:paraId="33D7A20C">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theme="minorBidi"/>
          <w:sz w:val="32"/>
          <w:szCs w:val="32"/>
        </w:rPr>
      </w:pPr>
      <w:bookmarkStart w:id="394" w:name="_Toc9462"/>
      <w:bookmarkStart w:id="395" w:name="_Toc58870186"/>
      <w:bookmarkStart w:id="396" w:name="_Toc57041439"/>
      <w:bookmarkStart w:id="397" w:name="_Toc59000559"/>
      <w:bookmarkStart w:id="398" w:name="_Toc1211"/>
      <w:r>
        <w:rPr>
          <w:rFonts w:hint="eastAsia" w:ascii="仿宋" w:hAnsi="仿宋" w:eastAsia="仿宋" w:cstheme="minorBidi"/>
          <w:sz w:val="32"/>
          <w:szCs w:val="32"/>
        </w:rPr>
        <w:t>加快推进农村牧区重点领域和关键环节改革，促进城乡要素平等交换、双向流动，促进</w:t>
      </w:r>
      <w:r>
        <w:rPr>
          <w:rFonts w:hint="eastAsia" w:ascii="仿宋" w:hAnsi="仿宋" w:eastAsia="仿宋" w:cstheme="minorBidi"/>
          <w:sz w:val="32"/>
          <w:szCs w:val="32"/>
          <w:lang w:eastAsia="zh-CN"/>
        </w:rPr>
        <w:t>资源</w:t>
      </w:r>
      <w:r>
        <w:rPr>
          <w:rFonts w:hint="eastAsia" w:ascii="仿宋" w:hAnsi="仿宋" w:eastAsia="仿宋" w:cstheme="minorBidi"/>
          <w:sz w:val="32"/>
          <w:szCs w:val="32"/>
        </w:rPr>
        <w:t>要素更多向农村牧区集聚，增强农村牧区发展活力。</w:t>
      </w:r>
    </w:p>
    <w:p w14:paraId="27D0CED1">
      <w:pPr>
        <w:pStyle w:val="4"/>
        <w:pageBreakBefore w:val="0"/>
        <w:widowControl w:val="0"/>
        <w:kinsoku/>
        <w:wordWrap/>
        <w:overflowPunct/>
        <w:topLinePunct w:val="0"/>
        <w:autoSpaceDE/>
        <w:autoSpaceDN/>
        <w:bidi w:val="0"/>
        <w:adjustRightInd/>
        <w:snapToGrid/>
        <w:spacing w:before="156" w:beforeLines="50" w:after="156" w:afterLines="50" w:line="600" w:lineRule="exact"/>
        <w:ind w:firstLine="640" w:firstLineChars="200"/>
        <w:textAlignment w:val="auto"/>
        <w:rPr>
          <w:rFonts w:ascii="仿宋" w:hAnsi="仿宋" w:eastAsia="仿宋" w:cstheme="minorBidi"/>
          <w:b w:val="0"/>
          <w:bCs w:val="0"/>
          <w:sz w:val="32"/>
          <w:szCs w:val="32"/>
        </w:rPr>
      </w:pPr>
      <w:bookmarkStart w:id="399" w:name="_Toc18959"/>
      <w:bookmarkStart w:id="400" w:name="_Toc29123"/>
      <w:bookmarkStart w:id="401" w:name="_Toc24641"/>
      <w:bookmarkStart w:id="402" w:name="_Toc10277"/>
      <w:bookmarkStart w:id="403" w:name="_Toc1551257770_WPSOffice_Level2"/>
      <w:r>
        <w:rPr>
          <w:rFonts w:hint="eastAsia" w:ascii="Calibri Light" w:hAnsi="Calibri Light" w:cs="Times New Roman"/>
          <w:b w:val="0"/>
          <w:bCs w:val="0"/>
          <w:sz w:val="32"/>
          <w:szCs w:val="32"/>
        </w:rPr>
        <w:t>第一节</w:t>
      </w:r>
      <w:r>
        <w:rPr>
          <w:rFonts w:ascii="Calibri Light" w:hAnsi="Calibri Light" w:cs="Times New Roman"/>
          <w:b w:val="0"/>
          <w:bCs w:val="0"/>
          <w:sz w:val="32"/>
          <w:szCs w:val="32"/>
        </w:rPr>
        <w:t xml:space="preserve"> </w:t>
      </w:r>
      <w:r>
        <w:rPr>
          <w:rFonts w:hint="eastAsia" w:ascii="Calibri Light" w:hAnsi="Calibri Light" w:cs="Times New Roman"/>
          <w:b w:val="0"/>
          <w:bCs w:val="0"/>
          <w:sz w:val="32"/>
          <w:szCs w:val="32"/>
        </w:rPr>
        <w:t>推进牧区现代化示范区建设</w:t>
      </w:r>
      <w:bookmarkEnd w:id="399"/>
      <w:bookmarkEnd w:id="400"/>
      <w:bookmarkEnd w:id="401"/>
      <w:bookmarkEnd w:id="402"/>
      <w:bookmarkEnd w:id="403"/>
    </w:p>
    <w:p w14:paraId="7DF59C84">
      <w:pPr>
        <w:pageBreakBefore w:val="0"/>
        <w:widowControl w:val="0"/>
        <w:kinsoku/>
        <w:wordWrap/>
        <w:overflowPunct/>
        <w:topLinePunct w:val="0"/>
        <w:autoSpaceDE/>
        <w:autoSpaceDN/>
        <w:bidi w:val="0"/>
        <w:adjustRightInd/>
        <w:snapToGrid/>
        <w:spacing w:after="156" w:afterLines="50" w:line="600" w:lineRule="exact"/>
        <w:ind w:firstLine="640" w:firstLineChars="200"/>
        <w:textAlignment w:val="auto"/>
        <w:rPr>
          <w:rFonts w:ascii="仿宋" w:hAnsi="仿宋" w:eastAsia="仿宋" w:cstheme="minorBidi"/>
          <w:sz w:val="32"/>
          <w:szCs w:val="32"/>
        </w:rPr>
      </w:pPr>
      <w:r>
        <w:rPr>
          <w:rFonts w:hint="eastAsia" w:ascii="仿宋" w:hAnsi="仿宋" w:eastAsia="仿宋" w:cstheme="minorBidi"/>
          <w:sz w:val="32"/>
          <w:szCs w:val="32"/>
        </w:rPr>
        <w:t>全面推进阿巴嘎旗牧区现代化建设，创新牧区现代化模式，为全盟、全区牧区现代化建设探索模式、积累经验、提供示范。科学把握牧区特点，坚持因地制宜，探索草原牧区实施乡村振兴模式，</w:t>
      </w:r>
      <w:r>
        <w:rPr>
          <w:rFonts w:hint="eastAsia" w:ascii="仿宋" w:hAnsi="仿宋" w:eastAsia="仿宋" w:cstheme="minorBidi"/>
          <w:sz w:val="32"/>
          <w:szCs w:val="32"/>
          <w:lang w:eastAsia="zh-CN"/>
        </w:rPr>
        <w:t>重点</w:t>
      </w:r>
      <w:r>
        <w:rPr>
          <w:rFonts w:hint="eastAsia" w:ascii="仿宋" w:hAnsi="仿宋" w:eastAsia="仿宋" w:cstheme="minorBidi"/>
          <w:sz w:val="32"/>
          <w:szCs w:val="32"/>
        </w:rPr>
        <w:t>通过强化草原生态保护、产业体系建设、社会化服务组织建设等形式推动畜牧业生产方式和经营方式创新，全力打造牧区乡村振兴示范区。推进市场服务与政府保障有机结合，建立“政府+企业”牧区社会化服务模式，建立“政府+企业”饲草料三级供应保障模式，建设阿巴嘎旗饲草料储备交易中心。推进特色农畜产品线下标准化与线上追溯销售有机结合，建立“云端牧场”管理模式，建设阿巴嘎旗牧区现代化数据中心，建立“科研机构”服务模式。</w:t>
      </w:r>
    </w:p>
    <w:p w14:paraId="6F0C7943">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2"/>
        </w:rPr>
      </w:pPr>
      <w:bookmarkStart w:id="404" w:name="_Toc27497"/>
      <w:bookmarkStart w:id="405" w:name="_Toc20924"/>
      <w:bookmarkStart w:id="406" w:name="_Toc40444174_WPSOffice_Level2"/>
      <w:bookmarkStart w:id="407" w:name="_Toc10409"/>
      <w:bookmarkStart w:id="408" w:name="_Toc18040"/>
      <w:r>
        <w:rPr>
          <w:rFonts w:hint="eastAsia" w:ascii="Calibri Light" w:hAnsi="Calibri Light" w:cs="Times New Roman"/>
          <w:b w:val="0"/>
          <w:bCs w:val="0"/>
          <w:sz w:val="32"/>
          <w:szCs w:val="32"/>
        </w:rPr>
        <w:t>第二节 健全城乡融合发展机制</w:t>
      </w:r>
      <w:bookmarkEnd w:id="404"/>
      <w:bookmarkEnd w:id="405"/>
      <w:bookmarkEnd w:id="406"/>
      <w:bookmarkEnd w:id="407"/>
      <w:bookmarkEnd w:id="408"/>
    </w:p>
    <w:p w14:paraId="305A0CAB">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推</w:t>
      </w:r>
      <w:r>
        <w:rPr>
          <w:rFonts w:hint="eastAsia" w:ascii="仿宋" w:hAnsi="仿宋" w:eastAsia="仿宋" w:cs="仿宋"/>
          <w:b/>
          <w:bCs/>
          <w:sz w:val="32"/>
          <w:szCs w:val="32"/>
          <w:lang w:eastAsia="zh-CN"/>
        </w:rPr>
        <w:t>进</w:t>
      </w:r>
      <w:r>
        <w:rPr>
          <w:rFonts w:hint="eastAsia" w:ascii="仿宋" w:hAnsi="仿宋" w:eastAsia="仿宋" w:cs="仿宋"/>
          <w:b/>
          <w:bCs/>
          <w:sz w:val="32"/>
          <w:szCs w:val="32"/>
        </w:rPr>
        <w:t>新型城镇化战略。</w:t>
      </w:r>
      <w:r>
        <w:rPr>
          <w:rFonts w:hint="eastAsia" w:ascii="仿宋" w:hAnsi="仿宋" w:eastAsia="仿宋" w:cs="仿宋"/>
          <w:sz w:val="32"/>
          <w:szCs w:val="32"/>
        </w:rPr>
        <w:t>完善县域产业、教育、医疗、养老、环保等政策体系，加快推进</w:t>
      </w:r>
      <w:r>
        <w:rPr>
          <w:rFonts w:hint="eastAsia" w:ascii="仿宋" w:hAnsi="仿宋" w:eastAsia="仿宋" w:cs="仿宋"/>
          <w:sz w:val="32"/>
          <w:szCs w:val="32"/>
          <w:lang w:eastAsia="zh-CN"/>
        </w:rPr>
        <w:t>基层</w:t>
      </w:r>
      <w:r>
        <w:rPr>
          <w:rFonts w:hint="eastAsia" w:ascii="仿宋" w:hAnsi="仿宋" w:eastAsia="仿宋" w:cs="仿宋"/>
          <w:sz w:val="32"/>
          <w:szCs w:val="32"/>
        </w:rPr>
        <w:t>公共基础设施建设、运营、管护一体化发展。推进以县域为载体的城镇化建设，促进在县域就业的农牧民就近就业和就地市民化。积极推进扩权强镇，赋予旗县更多资源整合使用权，建设一批重点苏木乡镇，强化旗县所在地综合服务能力和苏木乡镇服务农牧民区域中心功能，加快形成功能衔接互补的建管格局。</w:t>
      </w:r>
    </w:p>
    <w:p w14:paraId="1475A3AA">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促进城乡人力资源双向流动。</w:t>
      </w:r>
      <w:r>
        <w:rPr>
          <w:rFonts w:hint="eastAsia" w:ascii="仿宋" w:hAnsi="仿宋" w:eastAsia="仿宋" w:cs="仿宋"/>
          <w:bCs/>
          <w:sz w:val="32"/>
          <w:szCs w:val="32"/>
        </w:rPr>
        <w:t>建立健全农村牧区人才振兴体制机制，完善人才引进、培养、使用、评价和激励机制。</w:t>
      </w:r>
      <w:r>
        <w:rPr>
          <w:rFonts w:hint="eastAsia" w:ascii="仿宋" w:hAnsi="仿宋" w:eastAsia="仿宋" w:cs="仿宋"/>
          <w:bCs/>
          <w:sz w:val="32"/>
          <w:szCs w:val="32"/>
          <w:lang w:eastAsia="zh-CN"/>
        </w:rPr>
        <w:t>加强</w:t>
      </w:r>
      <w:r>
        <w:rPr>
          <w:rFonts w:hint="eastAsia" w:ascii="仿宋" w:hAnsi="仿宋" w:eastAsia="仿宋" w:cs="仿宋"/>
          <w:bCs/>
          <w:sz w:val="32"/>
          <w:szCs w:val="32"/>
        </w:rPr>
        <w:t>城乡人才合作交流，</w:t>
      </w:r>
      <w:r>
        <w:rPr>
          <w:rFonts w:hint="eastAsia" w:ascii="仿宋" w:hAnsi="仿宋" w:eastAsia="仿宋" w:cs="仿宋"/>
          <w:bCs/>
          <w:sz w:val="32"/>
          <w:szCs w:val="32"/>
          <w:lang w:eastAsia="zh-CN"/>
        </w:rPr>
        <w:t>推动建立</w:t>
      </w:r>
      <w:r>
        <w:rPr>
          <w:rFonts w:hint="eastAsia" w:ascii="仿宋" w:hAnsi="仿宋" w:eastAsia="仿宋" w:cs="仿宋"/>
          <w:bCs/>
          <w:sz w:val="32"/>
          <w:szCs w:val="32"/>
        </w:rPr>
        <w:t>城市教科文卫体等工作人员定期服务农村牧区工作</w:t>
      </w:r>
      <w:r>
        <w:rPr>
          <w:rFonts w:hint="eastAsia" w:ascii="仿宋" w:hAnsi="仿宋" w:eastAsia="仿宋" w:cs="仿宋"/>
          <w:bCs/>
          <w:sz w:val="32"/>
          <w:szCs w:val="32"/>
          <w:lang w:eastAsia="zh-CN"/>
        </w:rPr>
        <w:t>机制</w:t>
      </w:r>
      <w:r>
        <w:rPr>
          <w:rFonts w:hint="eastAsia" w:ascii="仿宋" w:hAnsi="仿宋" w:eastAsia="仿宋" w:cs="仿宋"/>
          <w:bCs/>
          <w:sz w:val="32"/>
          <w:szCs w:val="32"/>
        </w:rPr>
        <w:t>。健全农牧业转移人口市民化配套政策体系，完善财政转移支付与农牧业转移人口市民化挂钩相关政策，建立城镇建设用地年度指标分配同吸纳农村牧区转移人口落户数量和提供保障性住房规模挂钩机制，促进农牧业转移人口有序有效融入城市。依法保障进城落户农牧民土地承包权、宅基地使用权、集体收益分配权，建立农村牧区产权流转市场体系，健全农牧户“三权”市场化退出机制和配套政策。</w:t>
      </w:r>
    </w:p>
    <w:p w14:paraId="4291F598">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仿宋"/>
          <w:bCs/>
          <w:sz w:val="32"/>
          <w:szCs w:val="32"/>
        </w:rPr>
      </w:pPr>
      <w:r>
        <w:rPr>
          <w:rFonts w:hint="eastAsia" w:ascii="仿宋" w:hAnsi="仿宋" w:eastAsia="仿宋" w:cs="仿宋"/>
          <w:b/>
          <w:bCs w:val="0"/>
          <w:sz w:val="32"/>
          <w:szCs w:val="32"/>
        </w:rPr>
        <w:t>引导社会资本投向农牧业农村牧区。</w:t>
      </w:r>
      <w:r>
        <w:rPr>
          <w:rFonts w:hint="eastAsia" w:ascii="仿宋" w:hAnsi="仿宋" w:eastAsia="仿宋" w:cs="仿宋"/>
          <w:bCs/>
          <w:sz w:val="32"/>
          <w:szCs w:val="32"/>
        </w:rPr>
        <w:t>深化“放管服”改革，持续改善农村牧区营商环境，引导鼓励工商资本投入现代农牧业、农村牧区产业、生态治理、基础设施和公共服务建设。建立社会资本投资农牧业农村牧区指引目录，</w:t>
      </w:r>
      <w:r>
        <w:rPr>
          <w:rFonts w:hint="eastAsia" w:ascii="仿宋" w:hAnsi="仿宋" w:eastAsia="仿宋" w:cs="仿宋"/>
          <w:bCs/>
          <w:sz w:val="32"/>
          <w:szCs w:val="32"/>
          <w:lang w:eastAsia="zh-CN"/>
        </w:rPr>
        <w:t>强化</w:t>
      </w:r>
      <w:r>
        <w:rPr>
          <w:rFonts w:hint="eastAsia" w:ascii="仿宋" w:hAnsi="仿宋" w:eastAsia="仿宋" w:cs="仿宋"/>
          <w:bCs/>
          <w:sz w:val="32"/>
          <w:szCs w:val="32"/>
        </w:rPr>
        <w:t>政府投入引领，发挥乡村振兴基金撬动金融资本</w:t>
      </w:r>
      <w:r>
        <w:rPr>
          <w:rFonts w:hint="eastAsia" w:ascii="仿宋" w:hAnsi="仿宋" w:eastAsia="仿宋" w:cs="仿宋"/>
          <w:bCs/>
          <w:sz w:val="32"/>
          <w:szCs w:val="32"/>
          <w:lang w:eastAsia="zh-CN"/>
        </w:rPr>
        <w:t>和</w:t>
      </w:r>
      <w:r>
        <w:rPr>
          <w:rFonts w:hint="eastAsia" w:ascii="仿宋" w:hAnsi="仿宋" w:eastAsia="仿宋" w:cs="仿宋"/>
          <w:bCs/>
          <w:sz w:val="32"/>
          <w:szCs w:val="32"/>
        </w:rPr>
        <w:t>社会力量作用，重点支持农村牧区产业发展。在不新增地方政府隐性债务前提下，引导银行业金融机构把农村牧区基础设施建设作为投资重点，拓展乡村建设资金来源渠道，加大对农村牧区基础设施建设的信贷支持力度。引导大中型银行进一步下沉服务重心，优化县域网点设置。</w:t>
      </w:r>
    </w:p>
    <w:p w14:paraId="201AC16B">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2"/>
        </w:rPr>
      </w:pPr>
      <w:bookmarkStart w:id="409" w:name="_Toc24871"/>
      <w:bookmarkStart w:id="410" w:name="_Toc805913336_WPSOffice_Level2"/>
      <w:bookmarkStart w:id="411" w:name="_Toc31285"/>
      <w:bookmarkStart w:id="412" w:name="_Toc26141"/>
      <w:bookmarkStart w:id="413" w:name="_Toc18440"/>
      <w:r>
        <w:rPr>
          <w:rFonts w:hint="eastAsia" w:ascii="Calibri Light" w:hAnsi="Calibri Light" w:cs="Times New Roman"/>
          <w:b w:val="0"/>
          <w:bCs w:val="0"/>
          <w:sz w:val="32"/>
          <w:szCs w:val="32"/>
        </w:rPr>
        <w:t>第三节 深化农村牧区土地制度改革</w:t>
      </w:r>
      <w:bookmarkEnd w:id="409"/>
      <w:bookmarkEnd w:id="410"/>
      <w:bookmarkEnd w:id="411"/>
      <w:bookmarkEnd w:id="412"/>
      <w:bookmarkEnd w:id="413"/>
    </w:p>
    <w:p w14:paraId="605566B8">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bookmarkStart w:id="414" w:name="_Toc57041442"/>
      <w:bookmarkStart w:id="415" w:name="_Toc59000560"/>
      <w:bookmarkStart w:id="416" w:name="_Toc56894087"/>
      <w:bookmarkStart w:id="417" w:name="_Toc58870187"/>
      <w:r>
        <w:rPr>
          <w:rFonts w:hint="eastAsia" w:ascii="仿宋" w:hAnsi="仿宋" w:eastAsia="仿宋" w:cs="仿宋"/>
          <w:b/>
          <w:bCs/>
          <w:sz w:val="32"/>
          <w:szCs w:val="32"/>
        </w:rPr>
        <w:t>巩固</w:t>
      </w:r>
      <w:r>
        <w:rPr>
          <w:rFonts w:hint="eastAsia" w:ascii="仿宋" w:hAnsi="仿宋" w:eastAsia="仿宋" w:cs="仿宋"/>
          <w:b/>
          <w:bCs/>
          <w:sz w:val="32"/>
          <w:szCs w:val="32"/>
          <w:lang w:eastAsia="zh-CN"/>
        </w:rPr>
        <w:t>和</w:t>
      </w:r>
      <w:r>
        <w:rPr>
          <w:rFonts w:hint="eastAsia" w:ascii="仿宋" w:hAnsi="仿宋" w:eastAsia="仿宋" w:cs="仿宋"/>
          <w:b/>
          <w:bCs/>
          <w:sz w:val="32"/>
          <w:szCs w:val="32"/>
        </w:rPr>
        <w:t>完善农村牧区基本经营制度。</w:t>
      </w:r>
      <w:r>
        <w:rPr>
          <w:rFonts w:hint="eastAsia" w:ascii="仿宋" w:hAnsi="仿宋" w:eastAsia="仿宋" w:cs="仿宋"/>
          <w:sz w:val="32"/>
          <w:szCs w:val="32"/>
        </w:rPr>
        <w:t>落实中央关于保持农村土地承包关系稳定并长久不变的政策，</w:t>
      </w:r>
      <w:r>
        <w:rPr>
          <w:rFonts w:hint="eastAsia" w:ascii="仿宋" w:hAnsi="仿宋" w:eastAsia="仿宋" w:cs="仿宋"/>
          <w:sz w:val="32"/>
          <w:szCs w:val="32"/>
          <w:lang w:eastAsia="zh-CN"/>
        </w:rPr>
        <w:t>强化</w:t>
      </w:r>
      <w:r>
        <w:rPr>
          <w:rFonts w:hint="eastAsia" w:ascii="仿宋" w:hAnsi="仿宋" w:eastAsia="仿宋" w:cs="仿宋"/>
          <w:sz w:val="32"/>
          <w:szCs w:val="32"/>
        </w:rPr>
        <w:t>双层经营体制。完善农村牧区承包地“三权分置”，探索集体所有权、农牧户承包权、土地经营权分置的有效实现形式。加强农村牧区土地承包合同管理，规范土地经营权有序流转，完善土地承包信息数据库和应用平台，提高土地承包管理信息化水平。稳妥推进农牧户土地经营权入股农牧业产业化经营试点，按照“土地经营权入股+保底收益+按股分红”的模式，完善农企利益联结机制。</w:t>
      </w:r>
    </w:p>
    <w:bookmarkEnd w:id="414"/>
    <w:bookmarkEnd w:id="415"/>
    <w:bookmarkEnd w:id="416"/>
    <w:bookmarkEnd w:id="417"/>
    <w:p w14:paraId="07D87F1D">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优化农村牧区土地资源配置</w:t>
      </w:r>
      <w:r>
        <w:rPr>
          <w:rFonts w:hint="eastAsia" w:ascii="仿宋" w:hAnsi="仿宋" w:eastAsia="仿宋" w:cs="仿宋"/>
          <w:b/>
          <w:bCs/>
          <w:sz w:val="32"/>
          <w:szCs w:val="32"/>
        </w:rPr>
        <w:t>。</w:t>
      </w:r>
      <w:r>
        <w:rPr>
          <w:rFonts w:hint="eastAsia" w:ascii="仿宋" w:hAnsi="仿宋" w:eastAsia="仿宋" w:cs="仿宋"/>
          <w:sz w:val="32"/>
          <w:szCs w:val="32"/>
        </w:rPr>
        <w:t>把处理好农牧民与土地的关系作为改革主线，</w:t>
      </w:r>
      <w:r>
        <w:rPr>
          <w:rFonts w:hint="eastAsia" w:ascii="仿宋" w:hAnsi="仿宋" w:eastAsia="仿宋" w:cs="仿宋"/>
          <w:sz w:val="32"/>
          <w:szCs w:val="32"/>
          <w:lang w:eastAsia="zh-CN"/>
        </w:rPr>
        <w:t>完善土地有偿使用制度，</w:t>
      </w:r>
      <w:r>
        <w:rPr>
          <w:rFonts w:hint="eastAsia" w:ascii="仿宋" w:hAnsi="仿宋" w:eastAsia="仿宋" w:cs="仿宋"/>
          <w:sz w:val="32"/>
          <w:szCs w:val="32"/>
        </w:rPr>
        <w:t>建立</w:t>
      </w:r>
      <w:r>
        <w:rPr>
          <w:rFonts w:hint="eastAsia" w:ascii="仿宋" w:hAnsi="仿宋" w:eastAsia="仿宋" w:cs="仿宋"/>
          <w:sz w:val="32"/>
          <w:szCs w:val="32"/>
          <w:lang w:eastAsia="zh-CN"/>
        </w:rPr>
        <w:t>健全</w:t>
      </w:r>
      <w:r>
        <w:rPr>
          <w:rFonts w:hint="eastAsia" w:ascii="仿宋" w:hAnsi="仿宋" w:eastAsia="仿宋" w:cs="仿宋"/>
          <w:sz w:val="32"/>
          <w:szCs w:val="32"/>
        </w:rPr>
        <w:t>城乡统一的建设用地市场。</w:t>
      </w:r>
      <w:r>
        <w:rPr>
          <w:rFonts w:hint="eastAsia" w:ascii="仿宋" w:hAnsi="仿宋" w:eastAsia="仿宋" w:cs="仿宋"/>
          <w:sz w:val="32"/>
          <w:szCs w:val="32"/>
          <w:lang w:eastAsia="zh-CN"/>
        </w:rPr>
        <w:t>盘活农村牧区存量建设用地，优先保障农村牧区产业发展和建设用地。依据国土空间规划，以苏木乡镇或嘎查村为单位开展全域土地综合整治。稳妥有序推进</w:t>
      </w:r>
      <w:r>
        <w:rPr>
          <w:rFonts w:hint="eastAsia" w:ascii="仿宋" w:hAnsi="仿宋" w:eastAsia="仿宋" w:cs="仿宋"/>
          <w:sz w:val="32"/>
          <w:szCs w:val="32"/>
        </w:rPr>
        <w:t>农村牧区集体经营性建设</w:t>
      </w:r>
      <w:r>
        <w:rPr>
          <w:rFonts w:hint="eastAsia" w:ascii="仿宋" w:hAnsi="仿宋" w:eastAsia="仿宋" w:cs="仿宋"/>
          <w:sz w:val="32"/>
          <w:szCs w:val="32"/>
          <w:lang w:eastAsia="zh-CN"/>
        </w:rPr>
        <w:t>用地入市工作</w:t>
      </w:r>
      <w:r>
        <w:rPr>
          <w:rFonts w:hint="eastAsia" w:ascii="仿宋" w:hAnsi="仿宋" w:eastAsia="仿宋" w:cs="仿宋"/>
          <w:sz w:val="32"/>
          <w:szCs w:val="32"/>
        </w:rPr>
        <w:t>，明确入市主体、范围和</w:t>
      </w:r>
      <w:r>
        <w:rPr>
          <w:rFonts w:hint="eastAsia" w:ascii="仿宋" w:hAnsi="仿宋" w:eastAsia="仿宋" w:cs="仿宋"/>
          <w:sz w:val="32"/>
          <w:szCs w:val="32"/>
          <w:lang w:eastAsia="zh-CN"/>
        </w:rPr>
        <w:t>权能。建立</w:t>
      </w:r>
      <w:r>
        <w:rPr>
          <w:rFonts w:hint="eastAsia" w:ascii="仿宋" w:hAnsi="仿宋" w:eastAsia="仿宋" w:cs="仿宋"/>
          <w:sz w:val="32"/>
          <w:szCs w:val="32"/>
        </w:rPr>
        <w:t>农村牧区土地征收</w:t>
      </w:r>
      <w:r>
        <w:rPr>
          <w:rFonts w:hint="eastAsia" w:ascii="仿宋" w:hAnsi="仿宋" w:eastAsia="仿宋" w:cs="仿宋"/>
          <w:sz w:val="32"/>
          <w:szCs w:val="32"/>
          <w:lang w:eastAsia="zh-CN"/>
        </w:rPr>
        <w:t>公共利益认定机制</w:t>
      </w:r>
      <w:r>
        <w:rPr>
          <w:rFonts w:hint="eastAsia" w:ascii="仿宋" w:hAnsi="仿宋" w:eastAsia="仿宋" w:cs="仿宋"/>
          <w:sz w:val="32"/>
          <w:szCs w:val="32"/>
        </w:rPr>
        <w:t>，缩小征地范围，规范征地程序，维护被征地农牧民和嘎查村集体权益。</w:t>
      </w:r>
      <w:bookmarkStart w:id="418" w:name="_Toc12675"/>
      <w:bookmarkStart w:id="419" w:name="_Toc13831"/>
      <w:bookmarkStart w:id="420" w:name="_Toc59000563"/>
      <w:bookmarkStart w:id="421" w:name="_Toc58870190"/>
      <w:bookmarkStart w:id="422" w:name="_Toc57041444"/>
      <w:r>
        <w:rPr>
          <w:rFonts w:hint="eastAsia" w:ascii="仿宋" w:hAnsi="仿宋" w:eastAsia="仿宋" w:cs="仿宋"/>
          <w:sz w:val="32"/>
          <w:szCs w:val="32"/>
          <w:lang w:eastAsia="zh-CN"/>
        </w:rPr>
        <w:t>鼓励对依法登记的农村牧区建设用地进行复合利用，发展休闲农牧业、民宿、农畜产品加工、农村牧区电商等。</w:t>
      </w:r>
    </w:p>
    <w:p w14:paraId="77523E23">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theme="minorBidi"/>
          <w:color w:val="000000" w:themeColor="text1"/>
          <w:sz w:val="32"/>
          <w:szCs w:val="32"/>
        </w:rPr>
      </w:pPr>
      <w:r>
        <w:rPr>
          <w:rFonts w:hint="eastAsia" w:ascii="仿宋" w:hAnsi="仿宋" w:eastAsia="仿宋" w:cs="仿宋"/>
          <w:b/>
          <w:bCs/>
          <w:sz w:val="32"/>
          <w:szCs w:val="32"/>
        </w:rPr>
        <w:t>稳慎推进宅基地改革。</w:t>
      </w:r>
      <w:r>
        <w:rPr>
          <w:rFonts w:hint="eastAsia" w:ascii="仿宋" w:hAnsi="仿宋" w:eastAsia="仿宋" w:cs="仿宋"/>
          <w:sz w:val="32"/>
          <w:szCs w:val="32"/>
        </w:rPr>
        <w:t>稳妥开展农村牧区闲置宅基地和闲置农房盘活利用工作，加快</w:t>
      </w:r>
      <w:r>
        <w:rPr>
          <w:rFonts w:hint="eastAsia" w:ascii="仿宋" w:hAnsi="仿宋" w:eastAsia="仿宋" w:cstheme="minorBidi"/>
          <w:sz w:val="32"/>
          <w:szCs w:val="32"/>
        </w:rPr>
        <w:t>推进农村牧区宅基地使用权确权登记颁证。完善宅基地集体所有权行使机制，指导农村牧区集体经济组织制定宅基地管理章程。</w:t>
      </w:r>
      <w:r>
        <w:rPr>
          <w:rFonts w:hint="eastAsia" w:ascii="仿宋" w:hAnsi="仿宋" w:eastAsia="仿宋" w:cstheme="minorBidi"/>
          <w:color w:val="000000" w:themeColor="text1"/>
          <w:sz w:val="32"/>
          <w:szCs w:val="32"/>
        </w:rPr>
        <w:t>完善宅基地审批制度，健全宅基地监管机制，依法落实“一户一宅”要求，防止乱占耕地建房现象发生。推进宅基地数字化管理，逐步形成宅基地信息“一张图”。建立宅基地征收、流转、退出、经营等收益主要由农牧民获得的保障机制。创新宅基地增值收益集体部分使用方式，探索集体成员长期分享宅基地增值收益的有效途径。</w:t>
      </w:r>
    </w:p>
    <w:bookmarkEnd w:id="418"/>
    <w:bookmarkEnd w:id="419"/>
    <w:bookmarkEnd w:id="420"/>
    <w:bookmarkEnd w:id="421"/>
    <w:bookmarkEnd w:id="422"/>
    <w:p w14:paraId="4DDE2AD2">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2"/>
        </w:rPr>
      </w:pPr>
      <w:bookmarkStart w:id="423" w:name="_Toc21691"/>
      <w:bookmarkStart w:id="424" w:name="_Toc14932"/>
      <w:bookmarkStart w:id="425" w:name="_Toc31163"/>
      <w:bookmarkStart w:id="426" w:name="_Toc23955"/>
      <w:bookmarkStart w:id="427" w:name="_Toc1580775498_WPSOffice_Level2"/>
      <w:r>
        <w:rPr>
          <w:rFonts w:hint="eastAsia" w:ascii="Calibri Light" w:hAnsi="Calibri Light" w:cs="Times New Roman"/>
          <w:b w:val="0"/>
          <w:bCs w:val="0"/>
          <w:sz w:val="32"/>
          <w:szCs w:val="32"/>
        </w:rPr>
        <w:t xml:space="preserve">第四节 </w:t>
      </w:r>
      <w:r>
        <w:rPr>
          <w:rFonts w:hint="eastAsia" w:ascii="Calibri Light" w:hAnsi="Calibri Light" w:cs="Times New Roman"/>
          <w:b w:val="0"/>
          <w:bCs w:val="0"/>
          <w:sz w:val="32"/>
          <w:szCs w:val="32"/>
          <w:lang w:eastAsia="zh-CN"/>
        </w:rPr>
        <w:t>加强</w:t>
      </w:r>
      <w:r>
        <w:rPr>
          <w:rFonts w:hint="eastAsia" w:ascii="Calibri Light" w:hAnsi="Calibri Light" w:cs="Times New Roman"/>
          <w:b w:val="0"/>
          <w:bCs w:val="0"/>
          <w:sz w:val="32"/>
          <w:szCs w:val="32"/>
        </w:rPr>
        <w:t>农村牧区集体产权制度改革</w:t>
      </w:r>
      <w:bookmarkEnd w:id="423"/>
      <w:bookmarkEnd w:id="424"/>
      <w:bookmarkEnd w:id="425"/>
      <w:bookmarkEnd w:id="426"/>
      <w:bookmarkEnd w:id="427"/>
    </w:p>
    <w:p w14:paraId="0995A636">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推进经营性资产股份合作制改革。</w:t>
      </w:r>
      <w:r>
        <w:rPr>
          <w:rFonts w:hint="eastAsia" w:ascii="仿宋" w:hAnsi="仿宋" w:eastAsia="仿宋" w:cs="仿宋"/>
          <w:sz w:val="32"/>
          <w:szCs w:val="32"/>
        </w:rPr>
        <w:t>巩固农村牧区集体产权制度改革成果，构建“归属清晰、权能完整、流转顺畅、保护严格”的农村牧区集体产权制度。积极发展农牧民股份合作，赋予农牧民对集体资产股份占有、收益、有偿退出及抵押、担保和继承的权利，健全交易、监管、收益分配制度，促进集体资产保值增值，加快集体经营性资产股份合作制改革</w:t>
      </w:r>
      <w:r>
        <w:rPr>
          <w:rFonts w:hint="eastAsia" w:ascii="仿宋" w:hAnsi="仿宋" w:eastAsia="仿宋" w:cs="仿宋"/>
          <w:sz w:val="32"/>
          <w:szCs w:val="32"/>
          <w:lang w:eastAsia="zh-CN"/>
        </w:rPr>
        <w:t>进程</w:t>
      </w:r>
      <w:r>
        <w:rPr>
          <w:rFonts w:hint="eastAsia" w:ascii="仿宋" w:hAnsi="仿宋" w:eastAsia="仿宋" w:cs="仿宋"/>
          <w:sz w:val="32"/>
          <w:szCs w:val="32"/>
        </w:rPr>
        <w:t>。</w:t>
      </w:r>
    </w:p>
    <w:p w14:paraId="34481CE2">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bookmarkStart w:id="428" w:name="_Toc10000"/>
      <w:r>
        <w:rPr>
          <w:rFonts w:hint="eastAsia" w:ascii="仿宋" w:hAnsi="仿宋" w:eastAsia="仿宋" w:cs="仿宋"/>
          <w:b/>
          <w:bCs/>
          <w:sz w:val="32"/>
          <w:szCs w:val="32"/>
        </w:rPr>
        <w:t>发展新型农村牧区集体经济。</w:t>
      </w:r>
      <w:r>
        <w:rPr>
          <w:rFonts w:hint="eastAsia" w:ascii="仿宋" w:hAnsi="仿宋" w:eastAsia="仿宋" w:cs="仿宋"/>
          <w:sz w:val="32"/>
          <w:szCs w:val="32"/>
        </w:rPr>
        <w:t>积极探索集体经济发展壮大</w:t>
      </w:r>
      <w:r>
        <w:rPr>
          <w:rFonts w:hint="eastAsia" w:ascii="仿宋" w:hAnsi="仿宋" w:eastAsia="仿宋" w:cs="仿宋"/>
          <w:sz w:val="32"/>
          <w:szCs w:val="32"/>
          <w:lang w:eastAsia="zh-CN"/>
        </w:rPr>
        <w:t>的</w:t>
      </w:r>
      <w:r>
        <w:rPr>
          <w:rFonts w:hint="eastAsia" w:ascii="仿宋" w:hAnsi="仿宋" w:eastAsia="仿宋" w:cs="仿宋"/>
          <w:sz w:val="32"/>
          <w:szCs w:val="32"/>
        </w:rPr>
        <w:t>有效途径，指导集体经济组织管好用好集体资产和资源。推广资产经营型、资源开发型、服务创新型、乡村旅游型、产业带动型、联合经营型等经营模式发展集体经济，通过资源变资产、资产变资金、农牧民变股东，盘活利用集体资产资源，发展壮大集体经济。实施发展壮大嘎查村级集体经济项目，提升嘎查村集体经济发展水平</w:t>
      </w:r>
      <w:bookmarkStart w:id="429" w:name="_Toc58870193"/>
      <w:bookmarkStart w:id="430" w:name="_Toc59000566"/>
      <w:bookmarkStart w:id="431" w:name="_Toc23193"/>
      <w:bookmarkStart w:id="432" w:name="_Toc57041447"/>
      <w:r>
        <w:rPr>
          <w:rFonts w:hint="eastAsia" w:ascii="仿宋" w:hAnsi="仿宋" w:eastAsia="仿宋" w:cs="仿宋"/>
          <w:sz w:val="32"/>
          <w:szCs w:val="32"/>
          <w:lang w:eastAsia="zh-CN"/>
        </w:rPr>
        <w:t>。</w:t>
      </w:r>
      <w:r>
        <w:rPr>
          <w:rFonts w:hint="eastAsia" w:ascii="仿宋" w:hAnsi="仿宋" w:eastAsia="仿宋" w:cs="仿宋"/>
          <w:sz w:val="32"/>
          <w:szCs w:val="32"/>
        </w:rPr>
        <w:t>到2025年，集体经济年收入低于10万元的嘎查村全部清零。</w:t>
      </w:r>
    </w:p>
    <w:bookmarkEnd w:id="428"/>
    <w:bookmarkEnd w:id="429"/>
    <w:bookmarkEnd w:id="430"/>
    <w:bookmarkEnd w:id="431"/>
    <w:bookmarkEnd w:id="432"/>
    <w:p w14:paraId="27F36811">
      <w:pPr>
        <w:pageBreakBefore w:val="0"/>
        <w:widowControl w:val="0"/>
        <w:numPr>
          <w:ilvl w:val="255"/>
          <w:numId w:val="0"/>
        </w:numPr>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stheme="minorBidi"/>
          <w:sz w:val="32"/>
          <w:szCs w:val="32"/>
        </w:rPr>
      </w:pPr>
      <w:r>
        <w:rPr>
          <w:rFonts w:hint="eastAsia" w:ascii="仿宋" w:hAnsi="仿宋" w:eastAsia="仿宋" w:cs="仿宋"/>
          <w:b/>
          <w:bCs/>
          <w:sz w:val="32"/>
          <w:szCs w:val="32"/>
        </w:rPr>
        <w:t>加强集体资产监督管理。</w:t>
      </w:r>
      <w:r>
        <w:rPr>
          <w:rFonts w:hint="eastAsia" w:ascii="仿宋" w:hAnsi="仿宋" w:eastAsia="仿宋" w:cs="仿宋"/>
          <w:sz w:val="32"/>
          <w:szCs w:val="32"/>
        </w:rPr>
        <w:t>巩固集体资产清产核资成果，</w:t>
      </w:r>
      <w:r>
        <w:rPr>
          <w:rFonts w:hint="eastAsia" w:ascii="仿宋" w:hAnsi="仿宋" w:eastAsia="仿宋" w:cs="仿宋"/>
          <w:sz w:val="32"/>
          <w:szCs w:val="32"/>
          <w:lang w:eastAsia="zh-CN"/>
        </w:rPr>
        <w:t>加强</w:t>
      </w:r>
      <w:r>
        <w:rPr>
          <w:rFonts w:hint="eastAsia" w:ascii="仿宋" w:hAnsi="仿宋" w:eastAsia="仿宋" w:cs="仿宋"/>
          <w:sz w:val="32"/>
          <w:szCs w:val="32"/>
        </w:rPr>
        <w:t>集体资产台账</w:t>
      </w:r>
      <w:r>
        <w:rPr>
          <w:rFonts w:hint="eastAsia" w:ascii="仿宋" w:hAnsi="仿宋" w:eastAsia="仿宋" w:cs="仿宋"/>
          <w:sz w:val="32"/>
          <w:szCs w:val="32"/>
          <w:lang w:eastAsia="zh-CN"/>
        </w:rPr>
        <w:t>式管理</w:t>
      </w:r>
      <w:r>
        <w:rPr>
          <w:rFonts w:hint="eastAsia" w:ascii="仿宋" w:hAnsi="仿宋" w:eastAsia="仿宋" w:cs="仿宋"/>
          <w:sz w:val="32"/>
          <w:szCs w:val="32"/>
        </w:rPr>
        <w:t>，定期开展农村牧区集体资产清查，防止资产流失。建立和完善农村牧区集体资产登记、保管、使用和处置等各项制度，加快集体资产监督管理平台建设，推动农村牧区集体资产财务管理制度化、规范化、信息化。依托嘎查村务监督委员会，落实民主理财、规范财务公开，切实维护集体成员的监督管理权</w:t>
      </w:r>
      <w:r>
        <w:rPr>
          <w:rFonts w:hint="eastAsia" w:ascii="仿宋" w:hAnsi="仿宋" w:eastAsia="仿宋" w:cstheme="minorBidi"/>
          <w:sz w:val="32"/>
          <w:szCs w:val="32"/>
        </w:rPr>
        <w:t>。加强农村牧区集体经济组织审计监督</w:t>
      </w:r>
      <w:r>
        <w:rPr>
          <w:rFonts w:hint="eastAsia" w:ascii="仿宋" w:hAnsi="仿宋" w:eastAsia="仿宋" w:cstheme="minorBidi"/>
          <w:sz w:val="32"/>
          <w:szCs w:val="32"/>
          <w:lang w:eastAsia="zh-CN"/>
        </w:rPr>
        <w:t>工作</w:t>
      </w:r>
      <w:r>
        <w:rPr>
          <w:rFonts w:hint="eastAsia" w:ascii="仿宋" w:hAnsi="仿宋" w:eastAsia="仿宋" w:cstheme="minorBidi"/>
          <w:sz w:val="32"/>
          <w:szCs w:val="32"/>
        </w:rPr>
        <w:t>，</w:t>
      </w:r>
      <w:r>
        <w:rPr>
          <w:rFonts w:hint="eastAsia" w:ascii="仿宋" w:hAnsi="仿宋" w:eastAsia="仿宋" w:cstheme="minorBidi"/>
          <w:sz w:val="32"/>
          <w:szCs w:val="32"/>
          <w:lang w:eastAsia="zh-CN"/>
        </w:rPr>
        <w:t>开展</w:t>
      </w:r>
      <w:r>
        <w:rPr>
          <w:rFonts w:hint="eastAsia" w:ascii="仿宋" w:hAnsi="仿宋" w:eastAsia="仿宋" w:cstheme="minorBidi"/>
          <w:sz w:val="32"/>
          <w:szCs w:val="32"/>
        </w:rPr>
        <w:t>嘎查村干部任期和离任经济责任等专项审计，建立问题移交、定期通报和责任追究查处制度，防止侵占集体资产。加大对集体财务管理混乱嘎查村的整顿力度，坚决防止和纠正发生在群众身边的腐败行为。</w:t>
      </w:r>
    </w:p>
    <w:bookmarkEnd w:id="394"/>
    <w:bookmarkEnd w:id="395"/>
    <w:bookmarkEnd w:id="396"/>
    <w:bookmarkEnd w:id="397"/>
    <w:bookmarkEnd w:id="398"/>
    <w:p w14:paraId="233B742E">
      <w:pPr>
        <w:pStyle w:val="4"/>
        <w:spacing w:before="156" w:beforeLines="50" w:after="156" w:afterLines="50" w:line="540" w:lineRule="exact"/>
        <w:rPr>
          <w:rFonts w:ascii="Calibri Light" w:hAnsi="Calibri Light" w:cs="Times New Roman"/>
          <w:b w:val="0"/>
          <w:bCs w:val="0"/>
          <w:sz w:val="32"/>
          <w:szCs w:val="32"/>
        </w:rPr>
      </w:pPr>
      <w:bookmarkStart w:id="433" w:name="_Toc59000567"/>
      <w:bookmarkStart w:id="434" w:name="_Toc27370"/>
      <w:bookmarkStart w:id="435" w:name="_Toc32313"/>
      <w:bookmarkStart w:id="436" w:name="_Toc15963"/>
      <w:bookmarkStart w:id="437" w:name="_Toc11365"/>
      <w:bookmarkStart w:id="438" w:name="_Toc58870194"/>
      <w:bookmarkStart w:id="439" w:name="_Toc115491055_WPSOffice_Level2"/>
      <w:r>
        <w:rPr>
          <w:rFonts w:hint="eastAsia" w:ascii="Calibri Light" w:hAnsi="Calibri Light" w:cs="Times New Roman"/>
          <w:b w:val="0"/>
          <w:bCs w:val="0"/>
          <w:sz w:val="32"/>
          <w:szCs w:val="32"/>
        </w:rPr>
        <w:t xml:space="preserve">第五节 </w:t>
      </w:r>
      <w:r>
        <w:rPr>
          <w:rFonts w:hint="eastAsia" w:ascii="Calibri Light" w:hAnsi="Calibri Light" w:cs="Times New Roman"/>
          <w:b w:val="0"/>
          <w:bCs w:val="0"/>
          <w:sz w:val="32"/>
          <w:szCs w:val="32"/>
          <w:lang w:eastAsia="zh-CN"/>
        </w:rPr>
        <w:t>强化</w:t>
      </w:r>
      <w:r>
        <w:rPr>
          <w:rFonts w:hint="eastAsia" w:ascii="Calibri Light" w:hAnsi="Calibri Light" w:cs="Times New Roman"/>
          <w:b w:val="0"/>
          <w:bCs w:val="0"/>
          <w:sz w:val="32"/>
          <w:szCs w:val="32"/>
        </w:rPr>
        <w:t>农垦改革</w:t>
      </w:r>
      <w:bookmarkEnd w:id="433"/>
      <w:bookmarkEnd w:id="434"/>
      <w:bookmarkEnd w:id="435"/>
      <w:bookmarkEnd w:id="436"/>
      <w:bookmarkEnd w:id="437"/>
      <w:bookmarkEnd w:id="438"/>
      <w:bookmarkEnd w:id="439"/>
    </w:p>
    <w:p w14:paraId="73287636">
      <w:pPr>
        <w:pageBreakBefore w:val="0"/>
        <w:widowControl w:val="0"/>
        <w:numPr>
          <w:ilvl w:val="255"/>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stheme="minorBidi"/>
          <w:color w:val="000000" w:themeColor="text1"/>
          <w:sz w:val="32"/>
          <w:szCs w:val="32"/>
        </w:rPr>
      </w:pPr>
      <w:r>
        <w:rPr>
          <w:rFonts w:hint="eastAsia" w:ascii="仿宋" w:hAnsi="仿宋" w:eastAsia="仿宋" w:cstheme="minorBidi"/>
          <w:sz w:val="32"/>
          <w:szCs w:val="32"/>
        </w:rPr>
        <w:t>在全面完成农垦国有土地使用权确权登记发证的基础上，推进农垦资源资产化、资产资本化、资本股份化</w:t>
      </w:r>
      <w:r>
        <w:rPr>
          <w:rFonts w:hint="eastAsia" w:ascii="仿宋" w:hAnsi="仿宋" w:eastAsia="仿宋" w:cstheme="minorBidi"/>
          <w:sz w:val="32"/>
          <w:szCs w:val="32"/>
          <w:lang w:eastAsia="zh-CN"/>
        </w:rPr>
        <w:t>，</w:t>
      </w:r>
      <w:r>
        <w:rPr>
          <w:rFonts w:hint="eastAsia" w:ascii="仿宋" w:hAnsi="仿宋" w:eastAsia="仿宋" w:cstheme="minorBidi"/>
          <w:sz w:val="32"/>
          <w:szCs w:val="32"/>
        </w:rPr>
        <w:t>采取授权、委托、购买服务等方式彻底剥离场办社会职能，加强</w:t>
      </w:r>
      <w:r>
        <w:rPr>
          <w:rFonts w:hint="eastAsia" w:ascii="仿宋" w:hAnsi="仿宋" w:eastAsia="仿宋" w:cstheme="minorBidi"/>
          <w:sz w:val="32"/>
          <w:szCs w:val="32"/>
          <w:lang w:eastAsia="zh-CN"/>
        </w:rPr>
        <w:t>协调</w:t>
      </w:r>
      <w:r>
        <w:rPr>
          <w:rFonts w:hint="eastAsia" w:ascii="仿宋" w:hAnsi="仿宋" w:eastAsia="仿宋" w:cstheme="minorBidi"/>
          <w:sz w:val="32"/>
          <w:szCs w:val="32"/>
        </w:rPr>
        <w:t>指导。通过深化农垦改革，推进垦区集团化、农牧场企业化，完善农垦企业法人治理结构和内部运行机制，使农垦企业能够充分发挥市场配置资源的决定性作用。</w:t>
      </w:r>
      <w:r>
        <w:rPr>
          <w:rFonts w:hint="eastAsia" w:ascii="仿宋" w:hAnsi="仿宋" w:eastAsia="仿宋" w:cstheme="minorBidi"/>
          <w:color w:val="000000" w:themeColor="text1"/>
          <w:sz w:val="32"/>
          <w:szCs w:val="32"/>
        </w:rPr>
        <w:t>推动有条件的农牧场进行公司化改革，探索组建区域性、专业化企业集团，逐步向现代企业化方向发展。完善职工承包租赁经营管理制度，探索推进土地资源资产化和资本化，鼓励有条件的垦区通过授权经营、作价出资（入股）等方式，提高土地资源利用效率。</w:t>
      </w:r>
    </w:p>
    <w:p w14:paraId="2D2062AE">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2"/>
        </w:rPr>
      </w:pPr>
      <w:bookmarkStart w:id="440" w:name="_Toc18485"/>
      <w:bookmarkStart w:id="441" w:name="_Toc5896"/>
      <w:bookmarkStart w:id="442" w:name="_Toc8658"/>
      <w:bookmarkStart w:id="443" w:name="_Toc22714"/>
      <w:bookmarkStart w:id="444" w:name="_Toc1319728686_WPSOffice_Level2"/>
      <w:bookmarkStart w:id="445" w:name="_Toc58870140"/>
      <w:bookmarkStart w:id="446" w:name="_Toc59000538"/>
      <w:bookmarkStart w:id="447" w:name="_Toc26578"/>
      <w:bookmarkStart w:id="448" w:name="_Toc56852710"/>
      <w:bookmarkStart w:id="449" w:name="_Toc59000590"/>
      <w:bookmarkStart w:id="450" w:name="_Toc57041453"/>
      <w:bookmarkStart w:id="451" w:name="_Toc14981"/>
      <w:bookmarkStart w:id="452" w:name="_Toc58870217"/>
      <w:r>
        <w:rPr>
          <w:rFonts w:hint="eastAsia" w:ascii="Calibri Light" w:hAnsi="Calibri Light" w:cs="Times New Roman"/>
          <w:b w:val="0"/>
          <w:bCs w:val="0"/>
          <w:sz w:val="32"/>
          <w:szCs w:val="32"/>
        </w:rPr>
        <w:t>第六节 扩大农牧业对外开放</w:t>
      </w:r>
      <w:bookmarkEnd w:id="440"/>
      <w:bookmarkEnd w:id="441"/>
      <w:bookmarkEnd w:id="442"/>
      <w:bookmarkEnd w:id="443"/>
      <w:bookmarkEnd w:id="444"/>
    </w:p>
    <w:p w14:paraId="52B457FC">
      <w:pPr>
        <w:pageBreakBefore w:val="0"/>
        <w:widowControl w:val="0"/>
        <w:kinsoku/>
        <w:wordWrap/>
        <w:overflowPunct/>
        <w:topLinePunct w:val="0"/>
        <w:autoSpaceDE/>
        <w:autoSpaceDN/>
        <w:bidi w:val="0"/>
        <w:adjustRightInd/>
        <w:snapToGrid/>
        <w:spacing w:after="156" w:afterLines="50" w:line="600" w:lineRule="exact"/>
        <w:ind w:firstLine="640" w:firstLineChars="200"/>
        <w:textAlignment w:val="auto"/>
        <w:rPr>
          <w:rFonts w:hint="eastAsia" w:ascii="仿宋" w:hAnsi="仿宋" w:eastAsia="仿宋" w:cstheme="minorBidi"/>
          <w:sz w:val="32"/>
          <w:szCs w:val="32"/>
        </w:rPr>
      </w:pPr>
      <w:r>
        <w:rPr>
          <w:rFonts w:hint="eastAsia" w:ascii="仿宋" w:hAnsi="仿宋" w:eastAsia="仿宋" w:cstheme="minorBidi"/>
          <w:sz w:val="32"/>
          <w:szCs w:val="32"/>
        </w:rPr>
        <w:t>加强与</w:t>
      </w:r>
      <w:r>
        <w:rPr>
          <w:rFonts w:hint="eastAsia" w:ascii="仿宋" w:hAnsi="仿宋" w:eastAsia="仿宋" w:cstheme="minorBidi"/>
          <w:sz w:val="32"/>
          <w:szCs w:val="32"/>
          <w:lang w:eastAsia="zh-CN"/>
        </w:rPr>
        <w:t>临近地区和区内外重点</w:t>
      </w:r>
      <w:r>
        <w:rPr>
          <w:rFonts w:hint="eastAsia" w:ascii="仿宋" w:hAnsi="仿宋" w:eastAsia="仿宋" w:cstheme="minorBidi"/>
          <w:sz w:val="32"/>
          <w:szCs w:val="32"/>
        </w:rPr>
        <w:t>区域</w:t>
      </w:r>
      <w:r>
        <w:rPr>
          <w:rFonts w:hint="eastAsia" w:ascii="仿宋" w:hAnsi="仿宋" w:eastAsia="仿宋" w:cstheme="minorBidi"/>
          <w:sz w:val="32"/>
          <w:szCs w:val="32"/>
          <w:lang w:eastAsia="zh-CN"/>
        </w:rPr>
        <w:t>农牧业发展</w:t>
      </w:r>
      <w:r>
        <w:rPr>
          <w:rFonts w:hint="eastAsia" w:ascii="仿宋" w:hAnsi="仿宋" w:eastAsia="仿宋" w:cstheme="minorBidi"/>
          <w:sz w:val="32"/>
          <w:szCs w:val="32"/>
        </w:rPr>
        <w:t>交流</w:t>
      </w:r>
      <w:r>
        <w:rPr>
          <w:rFonts w:hint="eastAsia" w:ascii="仿宋" w:hAnsi="仿宋" w:eastAsia="仿宋" w:cstheme="minorBidi"/>
          <w:sz w:val="32"/>
          <w:szCs w:val="32"/>
          <w:lang w:eastAsia="zh-CN"/>
        </w:rPr>
        <w:t>与</w:t>
      </w:r>
      <w:r>
        <w:rPr>
          <w:rFonts w:hint="eastAsia" w:ascii="仿宋" w:hAnsi="仿宋" w:eastAsia="仿宋" w:cstheme="minorBidi"/>
          <w:sz w:val="32"/>
          <w:szCs w:val="32"/>
        </w:rPr>
        <w:t>合作，</w:t>
      </w:r>
      <w:r>
        <w:rPr>
          <w:rFonts w:hint="eastAsia" w:ascii="仿宋" w:hAnsi="仿宋" w:eastAsia="仿宋" w:cstheme="minorBidi"/>
          <w:sz w:val="32"/>
          <w:szCs w:val="32"/>
          <w:lang w:eastAsia="zh-CN"/>
        </w:rPr>
        <w:t>借助</w:t>
      </w:r>
      <w:r>
        <w:rPr>
          <w:rFonts w:hint="eastAsia" w:ascii="仿宋" w:hAnsi="仿宋" w:eastAsia="仿宋" w:cstheme="minorBidi"/>
          <w:sz w:val="32"/>
          <w:szCs w:val="32"/>
        </w:rPr>
        <w:t>优质农畜产品</w:t>
      </w:r>
      <w:r>
        <w:rPr>
          <w:rFonts w:hint="eastAsia" w:ascii="仿宋" w:hAnsi="仿宋" w:eastAsia="仿宋" w:cstheme="minorBidi"/>
          <w:sz w:val="32"/>
          <w:szCs w:val="32"/>
          <w:lang w:eastAsia="zh-CN"/>
        </w:rPr>
        <w:t>品质和</w:t>
      </w:r>
      <w:r>
        <w:rPr>
          <w:rFonts w:hint="eastAsia" w:ascii="仿宋" w:hAnsi="仿宋" w:eastAsia="仿宋" w:cstheme="minorBidi"/>
          <w:sz w:val="32"/>
          <w:szCs w:val="32"/>
        </w:rPr>
        <w:t>品牌效应，推动</w:t>
      </w:r>
      <w:r>
        <w:rPr>
          <w:rFonts w:hint="eastAsia" w:ascii="仿宋" w:hAnsi="仿宋" w:eastAsia="仿宋" w:cstheme="minorBidi"/>
          <w:sz w:val="32"/>
          <w:szCs w:val="32"/>
          <w:lang w:eastAsia="zh-CN"/>
        </w:rPr>
        <w:t>我盟</w:t>
      </w:r>
      <w:r>
        <w:rPr>
          <w:rFonts w:hint="eastAsia" w:ascii="仿宋" w:hAnsi="仿宋" w:eastAsia="仿宋" w:cstheme="minorBidi"/>
          <w:sz w:val="32"/>
          <w:szCs w:val="32"/>
        </w:rPr>
        <w:t>优质绿色农畜产品生产基地建设</w:t>
      </w:r>
      <w:r>
        <w:rPr>
          <w:rFonts w:hint="eastAsia" w:ascii="仿宋" w:hAnsi="仿宋" w:eastAsia="仿宋" w:cstheme="minorBidi"/>
          <w:sz w:val="32"/>
          <w:szCs w:val="32"/>
          <w:lang w:eastAsia="zh-CN"/>
        </w:rPr>
        <w:t>，</w:t>
      </w:r>
      <w:r>
        <w:rPr>
          <w:rFonts w:hint="eastAsia" w:ascii="仿宋" w:hAnsi="仿宋" w:eastAsia="仿宋" w:cstheme="minorBidi"/>
          <w:sz w:val="32"/>
          <w:szCs w:val="32"/>
        </w:rPr>
        <w:t>深度融入新发展格局。充分发挥二连浩特</w:t>
      </w:r>
      <w:r>
        <w:rPr>
          <w:rFonts w:hint="eastAsia" w:ascii="仿宋" w:hAnsi="仿宋" w:eastAsia="仿宋" w:cstheme="minorBidi"/>
          <w:sz w:val="32"/>
          <w:szCs w:val="32"/>
          <w:lang w:eastAsia="zh-CN"/>
        </w:rPr>
        <w:t>市</w:t>
      </w:r>
      <w:r>
        <w:rPr>
          <w:rFonts w:hint="eastAsia" w:ascii="仿宋" w:hAnsi="仿宋" w:eastAsia="仿宋" w:cstheme="minorBidi"/>
          <w:sz w:val="32"/>
          <w:szCs w:val="32"/>
        </w:rPr>
        <w:t>口岸优势，依托中蒙二连浩特</w:t>
      </w:r>
      <w:r>
        <w:rPr>
          <w:rFonts w:ascii="仿宋" w:hAnsi="仿宋" w:eastAsia="仿宋" w:cstheme="minorBidi"/>
          <w:sz w:val="32"/>
          <w:szCs w:val="32"/>
        </w:rPr>
        <w:t>——</w:t>
      </w:r>
      <w:r>
        <w:rPr>
          <w:rFonts w:hint="eastAsia" w:ascii="仿宋" w:hAnsi="仿宋" w:eastAsia="仿宋" w:cstheme="minorBidi"/>
          <w:sz w:val="32"/>
          <w:szCs w:val="32"/>
        </w:rPr>
        <w:t>扎门乌德跨境经济合作区，深化与蒙古</w:t>
      </w:r>
      <w:r>
        <w:rPr>
          <w:rFonts w:hint="eastAsia" w:ascii="仿宋" w:hAnsi="仿宋" w:eastAsia="仿宋" w:cstheme="minorBidi"/>
          <w:sz w:val="32"/>
          <w:szCs w:val="32"/>
          <w:lang w:eastAsia="zh-CN"/>
        </w:rPr>
        <w:t>国</w:t>
      </w:r>
      <w:r>
        <w:rPr>
          <w:rFonts w:hint="eastAsia" w:ascii="仿宋" w:hAnsi="仿宋" w:eastAsia="仿宋" w:cstheme="minorBidi"/>
          <w:sz w:val="32"/>
          <w:szCs w:val="32"/>
        </w:rPr>
        <w:t>等</w:t>
      </w:r>
      <w:r>
        <w:rPr>
          <w:rFonts w:hint="eastAsia" w:ascii="仿宋" w:hAnsi="仿宋" w:eastAsia="仿宋" w:cstheme="minorBidi"/>
          <w:sz w:val="32"/>
          <w:szCs w:val="32"/>
          <w:lang w:eastAsia="zh-CN"/>
        </w:rPr>
        <w:t>地区</w:t>
      </w:r>
      <w:r>
        <w:rPr>
          <w:rFonts w:hint="eastAsia" w:ascii="仿宋" w:hAnsi="仿宋" w:eastAsia="仿宋" w:cstheme="minorBidi"/>
          <w:sz w:val="32"/>
          <w:szCs w:val="32"/>
        </w:rPr>
        <w:t>“一带一路”沿线国家农牧业协同发展，推动口岸优势转化为经济优势。</w:t>
      </w:r>
    </w:p>
    <w:tbl>
      <w:tblPr>
        <w:tblStyle w:val="26"/>
        <w:tblW w:w="85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8578"/>
      </w:tblGrid>
      <w:tr w14:paraId="3A3B6E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79" w:hRule="atLeast"/>
          <w:jc w:val="center"/>
        </w:trPr>
        <w:tc>
          <w:tcPr>
            <w:tcW w:w="8578" w:type="dxa"/>
            <w:tcBorders>
              <w:bottom w:val="single" w:color="auto" w:sz="4" w:space="0"/>
              <w:tl2br w:val="nil"/>
              <w:tr2bl w:val="nil"/>
            </w:tcBorders>
            <w:shd w:val="clear" w:color="auto" w:fill="FFFFFF" w:themeFill="background1"/>
          </w:tcPr>
          <w:p w14:paraId="3D6E4789">
            <w:pPr>
              <w:spacing w:line="540" w:lineRule="exact"/>
              <w:ind w:left="210" w:right="210"/>
              <w:jc w:val="center"/>
              <w:rPr>
                <w:rFonts w:ascii="Times New Roman" w:hAnsi="Times New Roman" w:eastAsia="楷体" w:cs="Times New Roman"/>
                <w:sz w:val="28"/>
                <w:szCs w:val="28"/>
              </w:rPr>
            </w:pPr>
            <w:r>
              <w:rPr>
                <w:rFonts w:hint="eastAsia" w:ascii="黑体" w:hAnsi="黑体" w:eastAsia="黑体" w:cs="黑体"/>
                <w:b w:val="0"/>
                <w:bCs w:val="0"/>
                <w:sz w:val="28"/>
                <w:szCs w:val="28"/>
              </w:rPr>
              <w:t>专栏</w:t>
            </w:r>
            <w:r>
              <w:rPr>
                <w:rFonts w:hint="eastAsia" w:ascii="黑体" w:hAnsi="黑体" w:eastAsia="黑体" w:cs="黑体"/>
                <w:b w:val="0"/>
                <w:bCs w:val="0"/>
                <w:sz w:val="28"/>
                <w:szCs w:val="28"/>
                <w:lang w:val="en-US" w:eastAsia="zh-CN"/>
              </w:rPr>
              <w:t>7</w:t>
            </w:r>
            <w:r>
              <w:rPr>
                <w:rFonts w:hint="eastAsia" w:ascii="黑体" w:hAnsi="黑体" w:eastAsia="黑体" w:cs="黑体"/>
                <w:b w:val="0"/>
                <w:bCs w:val="0"/>
                <w:sz w:val="28"/>
                <w:szCs w:val="28"/>
              </w:rPr>
              <w:t xml:space="preserve">  </w:t>
            </w:r>
            <w:r>
              <w:rPr>
                <w:rFonts w:hint="eastAsia" w:ascii="黑体" w:hAnsi="黑体" w:eastAsia="黑体" w:cs="黑体"/>
                <w:b w:val="0"/>
                <w:bCs w:val="0"/>
                <w:sz w:val="28"/>
                <w:szCs w:val="28"/>
                <w:lang w:eastAsia="zh-CN"/>
              </w:rPr>
              <w:t>新一轮</w:t>
            </w:r>
            <w:r>
              <w:rPr>
                <w:rFonts w:hint="eastAsia" w:ascii="黑体" w:hAnsi="黑体" w:eastAsia="黑体" w:cs="黑体"/>
                <w:b w:val="0"/>
                <w:bCs w:val="0"/>
                <w:sz w:val="28"/>
                <w:szCs w:val="28"/>
              </w:rPr>
              <w:t>农村牧区改革工程</w:t>
            </w:r>
          </w:p>
        </w:tc>
      </w:tr>
      <w:tr w14:paraId="68220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58" w:hRule="atLeast"/>
          <w:jc w:val="center"/>
        </w:trPr>
        <w:tc>
          <w:tcPr>
            <w:tcW w:w="8578" w:type="dxa"/>
            <w:tcBorders>
              <w:top w:val="single" w:color="auto" w:sz="4" w:space="0"/>
              <w:bottom w:val="single" w:color="auto" w:sz="4" w:space="0"/>
              <w:tl2br w:val="nil"/>
              <w:tr2bl w:val="nil"/>
            </w:tcBorders>
            <w:shd w:val="clear" w:color="auto" w:fill="FFFFFF" w:themeFill="background1"/>
          </w:tcPr>
          <w:p w14:paraId="362A45C3">
            <w:pPr>
              <w:pStyle w:val="22"/>
              <w:spacing w:before="0" w:beforeAutospacing="0" w:after="0" w:afterAutospacing="0" w:line="400" w:lineRule="exact"/>
              <w:ind w:left="210" w:right="210" w:firstLine="480" w:firstLineChars="200"/>
              <w:jc w:val="both"/>
              <w:rPr>
                <w:rFonts w:ascii="Times New Roman" w:hAnsi="Times New Roman" w:eastAsia="仿宋" w:cs="Times New Roman"/>
                <w:kern w:val="2"/>
              </w:rPr>
            </w:pPr>
            <w:r>
              <w:rPr>
                <w:rFonts w:hint="eastAsia" w:ascii="黑体" w:hAnsi="黑体" w:eastAsia="黑体" w:cs="黑体"/>
                <w:kern w:val="2"/>
              </w:rPr>
              <w:t>1.牧区现代化试点项目</w:t>
            </w:r>
            <w:r>
              <w:rPr>
                <w:rFonts w:hint="eastAsia" w:ascii="黑体" w:hAnsi="黑体" w:eastAsia="黑体" w:cs="黑体"/>
                <w:kern w:val="2"/>
                <w:lang w:eastAsia="zh-CN"/>
              </w:rPr>
              <w:t>。</w:t>
            </w:r>
            <w:r>
              <w:rPr>
                <w:rFonts w:hint="eastAsia" w:ascii="Times New Roman" w:hAnsi="Times New Roman" w:eastAsia="仿宋" w:cs="Times New Roman"/>
                <w:kern w:val="2"/>
              </w:rPr>
              <w:t>有效利用自治区专项资金，加大盟旗两级支持力度，统筹推进牧区现代化试点工作，探索践行以生态优先、绿色发展为导向的牧区高质量发展新路子。</w:t>
            </w:r>
          </w:p>
          <w:p w14:paraId="1CE218C9">
            <w:pPr>
              <w:pStyle w:val="22"/>
              <w:spacing w:before="0" w:beforeAutospacing="0" w:after="0" w:afterAutospacing="0" w:line="400" w:lineRule="exact"/>
              <w:ind w:left="210" w:right="210" w:firstLine="480" w:firstLineChars="200"/>
              <w:jc w:val="both"/>
              <w:rPr>
                <w:rFonts w:ascii="Times New Roman" w:hAnsi="Times New Roman" w:eastAsia="仿宋" w:cs="Times New Roman"/>
                <w:kern w:val="2"/>
              </w:rPr>
            </w:pPr>
            <w:r>
              <w:rPr>
                <w:rFonts w:hint="eastAsia" w:ascii="黑体" w:hAnsi="黑体" w:eastAsia="黑体" w:cs="黑体"/>
                <w:kern w:val="2"/>
              </w:rPr>
              <w:t>2.县乡村基本公共服务一体化</w:t>
            </w:r>
            <w:r>
              <w:rPr>
                <w:rFonts w:hint="eastAsia" w:ascii="黑体" w:hAnsi="黑体" w:eastAsia="黑体" w:cs="黑体"/>
                <w:kern w:val="2"/>
                <w:lang w:eastAsia="zh-CN"/>
              </w:rPr>
              <w:t>发展</w:t>
            </w:r>
            <w:r>
              <w:rPr>
                <w:rFonts w:hint="eastAsia" w:ascii="黑体" w:hAnsi="黑体" w:eastAsia="黑体" w:cs="黑体"/>
                <w:kern w:val="2"/>
                <w:lang w:val="en-US" w:eastAsia="zh-CN"/>
              </w:rPr>
              <w:t>。</w:t>
            </w:r>
            <w:r>
              <w:rPr>
                <w:rFonts w:hint="eastAsia" w:ascii="Times New Roman" w:hAnsi="Times New Roman" w:eastAsia="仿宋" w:cs="Times New Roman"/>
                <w:kern w:val="2"/>
              </w:rPr>
              <w:t>推动各类资源向基层</w:t>
            </w:r>
            <w:r>
              <w:rPr>
                <w:rFonts w:hint="eastAsia" w:ascii="Times New Roman" w:hAnsi="Times New Roman" w:eastAsia="仿宋" w:cs="Times New Roman"/>
                <w:kern w:val="2"/>
                <w:lang w:eastAsia="zh-CN"/>
              </w:rPr>
              <w:t>倾斜</w:t>
            </w:r>
            <w:r>
              <w:rPr>
                <w:rFonts w:hint="eastAsia" w:ascii="Times New Roman" w:hAnsi="Times New Roman" w:eastAsia="仿宋" w:cs="Times New Roman"/>
                <w:kern w:val="2"/>
              </w:rPr>
              <w:t>，开展县乡村基本公共服务一体化</w:t>
            </w:r>
            <w:r>
              <w:rPr>
                <w:rFonts w:hint="eastAsia" w:ascii="Times New Roman" w:hAnsi="Times New Roman" w:eastAsia="仿宋" w:cs="Times New Roman"/>
                <w:kern w:val="2"/>
                <w:lang w:eastAsia="zh-CN"/>
              </w:rPr>
              <w:t>试点示范</w:t>
            </w:r>
            <w:r>
              <w:rPr>
                <w:rFonts w:hint="eastAsia" w:ascii="Times New Roman" w:hAnsi="Times New Roman" w:eastAsia="仿宋" w:cs="Times New Roman"/>
                <w:kern w:val="2"/>
              </w:rPr>
              <w:t>，赋予县域更多资源整合使用权，推动县乡村基本公共服务功能衔接互补。</w:t>
            </w:r>
          </w:p>
          <w:p w14:paraId="0C8AC0FC">
            <w:pPr>
              <w:pStyle w:val="22"/>
              <w:spacing w:before="0" w:beforeAutospacing="0" w:after="0" w:afterAutospacing="0" w:line="400" w:lineRule="exact"/>
              <w:ind w:left="210" w:right="210" w:firstLine="480" w:firstLineChars="200"/>
              <w:jc w:val="both"/>
              <w:rPr>
                <w:rFonts w:hint="eastAsia" w:ascii="Times New Roman" w:hAnsi="Times New Roman" w:eastAsia="仿宋" w:cs="Times New Roman"/>
                <w:kern w:val="2"/>
              </w:rPr>
            </w:pPr>
            <w:r>
              <w:rPr>
                <w:rFonts w:hint="eastAsia" w:ascii="黑体" w:hAnsi="黑体" w:eastAsia="黑体" w:cs="黑体"/>
                <w:kern w:val="2"/>
              </w:rPr>
              <w:t>3.</w:t>
            </w:r>
            <w:r>
              <w:rPr>
                <w:rFonts w:hint="eastAsia" w:ascii="黑体" w:hAnsi="黑体" w:eastAsia="黑体" w:cs="黑体"/>
                <w:kern w:val="2"/>
                <w:lang w:eastAsia="zh-CN"/>
              </w:rPr>
              <w:t>农</w:t>
            </w:r>
            <w:r>
              <w:rPr>
                <w:rFonts w:hint="eastAsia" w:ascii="黑体" w:hAnsi="黑体" w:eastAsia="黑体" w:cs="黑体"/>
                <w:kern w:val="2"/>
              </w:rPr>
              <w:t>村</w:t>
            </w:r>
            <w:r>
              <w:rPr>
                <w:rFonts w:hint="eastAsia" w:ascii="黑体" w:hAnsi="黑体" w:eastAsia="黑体" w:cs="黑体"/>
                <w:kern w:val="2"/>
                <w:lang w:eastAsia="zh-CN"/>
              </w:rPr>
              <w:t>牧区</w:t>
            </w:r>
            <w:r>
              <w:rPr>
                <w:rFonts w:hint="eastAsia" w:ascii="黑体" w:hAnsi="黑体" w:eastAsia="黑体" w:cs="黑体"/>
                <w:kern w:val="2"/>
              </w:rPr>
              <w:t>招才引智行动</w:t>
            </w:r>
            <w:r>
              <w:rPr>
                <w:rFonts w:hint="eastAsia" w:ascii="黑体" w:hAnsi="黑体" w:eastAsia="黑体" w:cs="黑体"/>
                <w:kern w:val="2"/>
                <w:lang w:eastAsia="zh-CN"/>
              </w:rPr>
              <w:t>。</w:t>
            </w:r>
            <w:r>
              <w:rPr>
                <w:rFonts w:hint="eastAsia" w:ascii="Times New Roman" w:hAnsi="Times New Roman" w:eastAsia="仿宋" w:cs="Times New Roman"/>
                <w:kern w:val="2"/>
              </w:rPr>
              <w:t>建立城市人才定期服务乡村制度，</w:t>
            </w:r>
            <w:r>
              <w:rPr>
                <w:rFonts w:hint="eastAsia" w:ascii="Times New Roman" w:hAnsi="Times New Roman" w:eastAsia="仿宋" w:cs="Times New Roman"/>
                <w:kern w:val="2"/>
                <w:lang w:eastAsia="zh-CN"/>
              </w:rPr>
              <w:t>每年</w:t>
            </w:r>
            <w:r>
              <w:rPr>
                <w:rFonts w:hint="eastAsia" w:ascii="Times New Roman" w:hAnsi="Times New Roman" w:eastAsia="仿宋" w:cs="Times New Roman"/>
                <w:kern w:val="2"/>
              </w:rPr>
              <w:t>引导优秀教师、医生、科技人员、社会工作者等为基层提供服务。</w:t>
            </w:r>
          </w:p>
          <w:p w14:paraId="64624DC3">
            <w:pPr>
              <w:pStyle w:val="22"/>
              <w:spacing w:before="0" w:beforeAutospacing="0" w:after="0" w:afterAutospacing="0" w:line="400" w:lineRule="exact"/>
              <w:ind w:left="210" w:right="210" w:firstLine="480" w:firstLineChars="200"/>
              <w:jc w:val="both"/>
              <w:rPr>
                <w:rFonts w:ascii="Times New Roman" w:hAnsi="Times New Roman" w:eastAsia="仿宋" w:cs="Times New Roman"/>
                <w:kern w:val="2"/>
              </w:rPr>
            </w:pPr>
            <w:r>
              <w:rPr>
                <w:rFonts w:hint="eastAsia" w:ascii="黑体" w:hAnsi="黑体" w:eastAsia="黑体" w:cs="黑体"/>
                <w:kern w:val="2"/>
                <w:lang w:val="en-US" w:eastAsia="zh-CN"/>
              </w:rPr>
              <w:t>4</w:t>
            </w:r>
            <w:r>
              <w:rPr>
                <w:rFonts w:hint="eastAsia" w:ascii="黑体" w:hAnsi="黑体" w:eastAsia="黑体" w:cs="黑体"/>
                <w:kern w:val="2"/>
              </w:rPr>
              <w:t>.乡村振兴金融服务行动。</w:t>
            </w:r>
            <w:r>
              <w:rPr>
                <w:rFonts w:hint="eastAsia" w:ascii="Times New Roman" w:hAnsi="Times New Roman" w:eastAsia="仿宋" w:cs="Times New Roman"/>
                <w:kern w:val="2"/>
              </w:rPr>
              <w:t>推动金融机构不断优化扩大县域金融服务覆盖面，开发一批适合农牧业农村牧区特点的金融产品和服务。</w:t>
            </w:r>
          </w:p>
        </w:tc>
      </w:tr>
    </w:tbl>
    <w:p w14:paraId="001F1F71">
      <w:pPr>
        <w:pStyle w:val="3"/>
        <w:snapToGrid w:val="0"/>
        <w:spacing w:before="312" w:beforeLines="100" w:after="312" w:afterLines="100" w:line="540" w:lineRule="exact"/>
        <w:jc w:val="center"/>
        <w:rPr>
          <w:rFonts w:hint="eastAsia" w:ascii="方正小标宋简体" w:hAnsi="仿宋" w:eastAsia="方正小标宋简体" w:cs="黑体"/>
          <w:b w:val="0"/>
          <w:color w:val="000000" w:themeColor="text1"/>
          <w:sz w:val="32"/>
          <w:szCs w:val="32"/>
        </w:rPr>
      </w:pPr>
      <w:bookmarkStart w:id="453" w:name="_Toc394"/>
      <w:bookmarkStart w:id="454" w:name="_Toc12946"/>
      <w:bookmarkStart w:id="455" w:name="_Toc5878"/>
      <w:bookmarkStart w:id="456" w:name="_Toc16127"/>
    </w:p>
    <w:p w14:paraId="298786F4">
      <w:pPr>
        <w:pStyle w:val="3"/>
        <w:snapToGrid w:val="0"/>
        <w:spacing w:before="312" w:beforeLines="100" w:after="312" w:afterLines="100" w:line="540" w:lineRule="exact"/>
        <w:jc w:val="center"/>
        <w:rPr>
          <w:rFonts w:ascii="方正小标宋简体" w:hAnsi="仿宋" w:eastAsia="方正小标宋简体" w:cs="黑体"/>
          <w:b w:val="0"/>
          <w:color w:val="000000" w:themeColor="text1"/>
          <w:sz w:val="44"/>
          <w:szCs w:val="44"/>
        </w:rPr>
      </w:pPr>
      <w:bookmarkStart w:id="457" w:name="_Toc260404896_WPSOffice_Level1"/>
      <w:r>
        <w:rPr>
          <w:rFonts w:hint="eastAsia" w:ascii="方正小标宋简体" w:hAnsi="仿宋" w:eastAsia="方正小标宋简体" w:cs="黑体"/>
          <w:b w:val="0"/>
          <w:color w:val="000000" w:themeColor="text1"/>
          <w:sz w:val="44"/>
          <w:szCs w:val="44"/>
        </w:rPr>
        <w:t>第八章 增进农牧民多维福祉</w:t>
      </w:r>
      <w:bookmarkEnd w:id="453"/>
      <w:bookmarkEnd w:id="454"/>
      <w:bookmarkEnd w:id="455"/>
      <w:bookmarkEnd w:id="456"/>
      <w:bookmarkEnd w:id="457"/>
    </w:p>
    <w:p w14:paraId="3E6F3BA0">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theme="minorBidi"/>
          <w:sz w:val="32"/>
          <w:szCs w:val="32"/>
        </w:rPr>
      </w:pPr>
      <w:r>
        <w:rPr>
          <w:rFonts w:hint="eastAsia" w:ascii="仿宋" w:hAnsi="仿宋" w:eastAsia="仿宋" w:cstheme="minorBidi"/>
          <w:sz w:val="32"/>
          <w:szCs w:val="32"/>
        </w:rPr>
        <w:t>坚持以人民</w:t>
      </w:r>
      <w:r>
        <w:rPr>
          <w:rFonts w:hint="eastAsia" w:ascii="仿宋" w:hAnsi="仿宋" w:eastAsia="仿宋" w:cstheme="minorBidi"/>
          <w:sz w:val="32"/>
          <w:szCs w:val="32"/>
          <w:lang w:eastAsia="zh-CN"/>
        </w:rPr>
        <w:t>群众</w:t>
      </w:r>
      <w:r>
        <w:rPr>
          <w:rFonts w:hint="eastAsia" w:ascii="仿宋" w:hAnsi="仿宋" w:eastAsia="仿宋" w:cstheme="minorBidi"/>
          <w:sz w:val="32"/>
          <w:szCs w:val="32"/>
        </w:rPr>
        <w:t>为中心，</w:t>
      </w:r>
      <w:r>
        <w:rPr>
          <w:rFonts w:hint="eastAsia" w:ascii="仿宋" w:hAnsi="仿宋" w:eastAsia="仿宋" w:cstheme="minorBidi"/>
          <w:sz w:val="32"/>
          <w:szCs w:val="32"/>
          <w:lang w:eastAsia="zh-CN"/>
        </w:rPr>
        <w:t>持续</w:t>
      </w:r>
      <w:r>
        <w:rPr>
          <w:rFonts w:hint="eastAsia" w:ascii="仿宋" w:hAnsi="仿宋" w:eastAsia="仿宋" w:cstheme="minorBidi"/>
          <w:sz w:val="32"/>
          <w:szCs w:val="32"/>
        </w:rPr>
        <w:t>推进巩固拓展脱贫攻坚成果同乡村振兴有效衔接</w:t>
      </w:r>
      <w:r>
        <w:rPr>
          <w:rFonts w:hint="eastAsia" w:ascii="仿宋" w:hAnsi="仿宋" w:eastAsia="仿宋" w:cstheme="minorBidi"/>
          <w:sz w:val="32"/>
          <w:szCs w:val="32"/>
          <w:lang w:eastAsia="zh-CN"/>
        </w:rPr>
        <w:t>工作</w:t>
      </w:r>
      <w:r>
        <w:rPr>
          <w:rFonts w:hint="eastAsia" w:ascii="仿宋" w:hAnsi="仿宋" w:eastAsia="仿宋" w:cstheme="minorBidi"/>
          <w:sz w:val="32"/>
          <w:szCs w:val="32"/>
        </w:rPr>
        <w:t>，多渠道增加农牧民收入，增进农牧民多维福祉，营造良好发展环境，让农牧民获得感更足、幸福感更强、安全感更有保障。</w:t>
      </w:r>
      <w:bookmarkStart w:id="458" w:name="_Toc60561667"/>
      <w:bookmarkStart w:id="459" w:name="_Toc57041428"/>
      <w:bookmarkStart w:id="460" w:name="_Toc59000527"/>
      <w:bookmarkStart w:id="461" w:name="_Toc58870119"/>
    </w:p>
    <w:p w14:paraId="36ED8209">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Cs w:val="36"/>
        </w:rPr>
      </w:pPr>
      <w:bookmarkStart w:id="462" w:name="_Toc2830"/>
      <w:bookmarkStart w:id="463" w:name="_Toc14935"/>
      <w:bookmarkStart w:id="464" w:name="_Toc4282"/>
      <w:bookmarkStart w:id="465" w:name="_Toc15344"/>
      <w:bookmarkStart w:id="466" w:name="_Toc88062995_WPSOffice_Level2"/>
      <w:r>
        <w:rPr>
          <w:rFonts w:hint="eastAsia" w:ascii="Calibri Light" w:hAnsi="Calibri Light" w:cs="Times New Roman"/>
          <w:b w:val="0"/>
          <w:bCs w:val="0"/>
          <w:szCs w:val="36"/>
        </w:rPr>
        <w:t xml:space="preserve">第一节 </w:t>
      </w:r>
      <w:r>
        <w:rPr>
          <w:rFonts w:hint="eastAsia" w:ascii="Calibri Light" w:hAnsi="Calibri Light" w:cs="Times New Roman"/>
          <w:b w:val="0"/>
          <w:bCs w:val="0"/>
          <w:szCs w:val="36"/>
          <w:lang w:eastAsia="zh-CN"/>
        </w:rPr>
        <w:t>实现</w:t>
      </w:r>
      <w:r>
        <w:rPr>
          <w:rFonts w:hint="eastAsia" w:ascii="Calibri Light" w:hAnsi="Calibri Light" w:cs="Times New Roman"/>
          <w:b w:val="0"/>
          <w:bCs w:val="0"/>
          <w:szCs w:val="36"/>
        </w:rPr>
        <w:t>巩固拓展脱贫攻坚成果同乡村振兴</w:t>
      </w:r>
      <w:bookmarkStart w:id="467" w:name="_Toc66980813"/>
      <w:r>
        <w:rPr>
          <w:rFonts w:hint="eastAsia" w:ascii="Calibri Light" w:hAnsi="Calibri Light" w:cs="Times New Roman"/>
          <w:b w:val="0"/>
          <w:bCs w:val="0"/>
          <w:szCs w:val="36"/>
        </w:rPr>
        <w:t>有效衔接</w:t>
      </w:r>
      <w:bookmarkEnd w:id="462"/>
      <w:bookmarkEnd w:id="463"/>
      <w:bookmarkEnd w:id="464"/>
      <w:bookmarkEnd w:id="465"/>
      <w:bookmarkEnd w:id="466"/>
      <w:bookmarkEnd w:id="467"/>
    </w:p>
    <w:p w14:paraId="446BE33D">
      <w:pPr>
        <w:pageBreakBefore w:val="0"/>
        <w:widowControl w:val="0"/>
        <w:tabs>
          <w:tab w:val="left" w:pos="830"/>
        </w:tabs>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sz w:val="32"/>
          <w:szCs w:val="32"/>
        </w:rPr>
        <w:t>坚持“过渡期”内帮扶政策总体稳定。</w:t>
      </w:r>
      <w:r>
        <w:rPr>
          <w:rFonts w:hint="eastAsia" w:ascii="仿宋" w:hAnsi="仿宋" w:eastAsia="仿宋" w:cs="仿宋"/>
          <w:color w:val="000000" w:themeColor="text1"/>
          <w:sz w:val="32"/>
          <w:szCs w:val="32"/>
        </w:rPr>
        <w:t>5年“过渡期”内，严格落实“四不摘”政策要求，保持最低生活保障、特困救助供养、临时救助等兜底救助类政策稳定，落实教育、医疗、住房等民生保障普惠政策，优化产业扶贫和就业扶持等发展类政策，稳定财政支持政策。组织开展巩固脱贫攻坚成果考核工作，将巩固拓展脱贫攻坚成果纳入盟旗党政领导班子和领导干部推进乡村振兴战略实绩考核范围，改进考核方式，强化结果运用，坚决守住不发生规模性返贫的底线。</w:t>
      </w:r>
    </w:p>
    <w:p w14:paraId="578B0254">
      <w:pPr>
        <w:pageBreakBefore w:val="0"/>
        <w:widowControl w:val="0"/>
        <w:tabs>
          <w:tab w:val="left" w:pos="830"/>
        </w:tabs>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sz w:val="32"/>
          <w:szCs w:val="32"/>
        </w:rPr>
        <w:t>持续巩固“两不愁三保障”成果。</w:t>
      </w:r>
      <w:r>
        <w:rPr>
          <w:rFonts w:hint="eastAsia" w:ascii="仿宋" w:hAnsi="仿宋" w:eastAsia="仿宋" w:cs="仿宋"/>
          <w:color w:val="000000" w:themeColor="text1"/>
          <w:sz w:val="32"/>
          <w:szCs w:val="32"/>
        </w:rPr>
        <w:t>巩固教育脱贫攻坚成果，完善控辍保学工作机制。巩固健康扶贫、医保扶贫成果，有效防范因病返贫致贫风险。稳步扩大农村牧区医疗卫生服务覆盖范围。落实分类资助参保政策，加强脱贫人口参保动员工作，建立农村牧区脱贫人口住房安全动态监测机制，保障低收入人口基本住房安全。巩固维护好已建农村牧区供水工程成果，不断提升农村牧区供水保障水平。</w:t>
      </w:r>
    </w:p>
    <w:p w14:paraId="640086E9">
      <w:pPr>
        <w:pageBreakBefore w:val="0"/>
        <w:widowControl w:val="0"/>
        <w:tabs>
          <w:tab w:val="left" w:pos="830"/>
        </w:tabs>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sz w:val="32"/>
          <w:szCs w:val="32"/>
        </w:rPr>
        <w:t>健全防止返贫动态监测和精准帮扶机制。</w:t>
      </w:r>
      <w:r>
        <w:rPr>
          <w:rFonts w:hint="eastAsia" w:ascii="仿宋" w:hAnsi="仿宋" w:eastAsia="仿宋" w:cs="仿宋"/>
          <w:color w:val="000000" w:themeColor="text1"/>
          <w:sz w:val="32"/>
          <w:szCs w:val="32"/>
        </w:rPr>
        <w:t>对脱贫不稳定户、边缘易致贫户以及因病因灾因意外事故等刚性支出较大或收入大幅缩减导致基本生活出现严重困难户，开展常态化监测预警，建立健全快速发现和响应机制。实时监测水旱灾害、气象灾害、地震灾害、地质灾害、生物灾害、火灾以及疫情等各类重大突发公共事件带来的影响，全力防范大宗农副产品价格持续大幅下跌、农村牧区劳动力失业明显增多、农村牧区产业项目失败</w:t>
      </w:r>
      <w:r>
        <w:rPr>
          <w:rFonts w:hint="eastAsia" w:ascii="仿宋" w:hAnsi="仿宋" w:eastAsia="仿宋" w:cs="仿宋"/>
          <w:color w:val="000000" w:themeColor="text1"/>
          <w:sz w:val="32"/>
          <w:szCs w:val="32"/>
          <w:lang w:eastAsia="zh-CN"/>
        </w:rPr>
        <w:t>等因素</w:t>
      </w:r>
      <w:r>
        <w:rPr>
          <w:rFonts w:hint="eastAsia" w:ascii="仿宋" w:hAnsi="仿宋" w:eastAsia="仿宋" w:cs="仿宋"/>
          <w:color w:val="000000" w:themeColor="text1"/>
          <w:sz w:val="32"/>
          <w:szCs w:val="32"/>
        </w:rPr>
        <w:t>造成的返贫现象，及时排查预警区域性、规模性返贫风险，制定防范措施，落实帮扶举措，实行动态清零。</w:t>
      </w:r>
    </w:p>
    <w:p w14:paraId="5456984D">
      <w:pPr>
        <w:pageBreakBefore w:val="0"/>
        <w:widowControl w:val="0"/>
        <w:tabs>
          <w:tab w:val="left" w:pos="830"/>
        </w:tabs>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sz w:val="32"/>
          <w:szCs w:val="32"/>
        </w:rPr>
        <w:t>强化易地扶贫搬迁后续扶持。</w:t>
      </w:r>
      <w:r>
        <w:rPr>
          <w:rFonts w:hint="eastAsia" w:ascii="仿宋" w:hAnsi="仿宋" w:eastAsia="仿宋" w:cs="仿宋"/>
          <w:color w:val="000000" w:themeColor="text1"/>
          <w:sz w:val="32"/>
          <w:szCs w:val="32"/>
        </w:rPr>
        <w:t>聚焦原深度贫困地区、集中安置区，从就业需要、产业发展、扶贫扶智和后续配套设施提升等方面，分区分类做好易地扶贫搬迁后续扶持工作。多措并举提高搬迁群众务工就业和自主创业能力，确保有劳动力的搬迁家庭至少有一人实现就业。完善安置区配套基础设施和公共服务设施，提升社区管理服务水平。</w:t>
      </w:r>
    </w:p>
    <w:p w14:paraId="1D9D29E9">
      <w:pPr>
        <w:pageBreakBefore w:val="0"/>
        <w:widowControl w:val="0"/>
        <w:tabs>
          <w:tab w:val="left" w:pos="830"/>
        </w:tabs>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sz w:val="32"/>
          <w:szCs w:val="32"/>
        </w:rPr>
        <w:t>加强扶贫项目资产管理。</w:t>
      </w:r>
      <w:r>
        <w:rPr>
          <w:rFonts w:hint="eastAsia" w:ascii="仿宋" w:hAnsi="仿宋" w:eastAsia="仿宋" w:cs="仿宋"/>
          <w:color w:val="000000" w:themeColor="text1"/>
          <w:sz w:val="32"/>
          <w:szCs w:val="32"/>
        </w:rPr>
        <w:t>分类摸清各类扶贫项目形成的资产底数，依据项目资金构成和实施方式，科学合理界定个人资产、集体资产、国有资产等资产权属，形成公益性资产、经营性资产及确权到农牧户或其他经营主体的扶贫资产台账。落实公益性资产管护主体，加强后续管理，确保持续发挥作用。明晰经营性资产产权关系，防止资产流失和被侵占，科学制定运营方案和收益分配机制，资产收益重点用于项目运行管护、巩固拓展脱贫攻坚成果、后续产业发展、补齐产业短板、</w:t>
      </w:r>
      <w:r>
        <w:rPr>
          <w:rFonts w:hint="eastAsia" w:ascii="仿宋" w:hAnsi="仿宋" w:eastAsia="仿宋" w:cs="仿宋"/>
          <w:color w:val="000000" w:themeColor="text1"/>
          <w:sz w:val="32"/>
          <w:szCs w:val="32"/>
          <w:lang w:eastAsia="zh-CN"/>
        </w:rPr>
        <w:t>嘎查</w:t>
      </w:r>
      <w:r>
        <w:rPr>
          <w:rFonts w:hint="eastAsia" w:ascii="仿宋" w:hAnsi="仿宋" w:eastAsia="仿宋" w:cs="仿宋"/>
          <w:color w:val="000000" w:themeColor="text1"/>
          <w:sz w:val="32"/>
          <w:szCs w:val="32"/>
        </w:rPr>
        <w:t>村级公益事业等。</w:t>
      </w:r>
    </w:p>
    <w:p w14:paraId="46527594">
      <w:pPr>
        <w:pageBreakBefore w:val="0"/>
        <w:widowControl w:val="0"/>
        <w:tabs>
          <w:tab w:val="left" w:pos="830"/>
        </w:tabs>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sz w:val="32"/>
          <w:szCs w:val="32"/>
        </w:rPr>
        <w:t>推动脱贫地区特色产业可持续发展。</w:t>
      </w:r>
      <w:r>
        <w:rPr>
          <w:rFonts w:hint="eastAsia" w:ascii="仿宋" w:hAnsi="仿宋" w:eastAsia="仿宋" w:cs="仿宋"/>
          <w:color w:val="000000" w:themeColor="text1"/>
          <w:sz w:val="32"/>
          <w:szCs w:val="32"/>
        </w:rPr>
        <w:t>组织脱贫旗县编制“十四五”乡村特色产业发展规划，实施脱贫地区特色种养业提升行动，在主导产业发展、重大项目布局、补齐公共服务短板等方面给予脱贫地区支持，专家队伍长期跟踪帮扶，持续推动脱贫地区产业可持续发展，提升现代农牧业、光伏、旅游、电商和生态等优势特色产业发展水平。拓展脱贫地区农畜产品销售渠道，完善线上线下销售渠道体系，支持销售企业、电商、批发市场与脱贫地区精准对接。继续大力实施消费帮扶，持续扩大脱贫地区产品供给规模。</w:t>
      </w:r>
    </w:p>
    <w:p w14:paraId="2924B030">
      <w:pPr>
        <w:pageBreakBefore w:val="0"/>
        <w:widowControl w:val="0"/>
        <w:tabs>
          <w:tab w:val="left" w:pos="830"/>
        </w:tabs>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sz w:val="32"/>
          <w:szCs w:val="32"/>
        </w:rPr>
        <w:t>促进脱贫人口稳定就业。</w:t>
      </w:r>
      <w:r>
        <w:rPr>
          <w:rFonts w:hint="eastAsia" w:ascii="仿宋" w:hAnsi="仿宋" w:eastAsia="仿宋" w:cs="仿宋"/>
          <w:color w:val="000000" w:themeColor="text1"/>
          <w:sz w:val="32"/>
          <w:szCs w:val="32"/>
        </w:rPr>
        <w:t>落实优惠政策，鼓励企业吸纳和稳定就业岗位。扩大脱贫地区农村</w:t>
      </w:r>
      <w:r>
        <w:rPr>
          <w:rFonts w:hint="eastAsia" w:ascii="仿宋" w:hAnsi="仿宋" w:eastAsia="仿宋" w:cs="仿宋"/>
          <w:color w:val="000000" w:themeColor="text1"/>
          <w:sz w:val="32"/>
          <w:szCs w:val="32"/>
          <w:lang w:eastAsia="zh-CN"/>
        </w:rPr>
        <w:t>牧区</w:t>
      </w:r>
      <w:r>
        <w:rPr>
          <w:rFonts w:hint="eastAsia" w:ascii="仿宋" w:hAnsi="仿宋" w:eastAsia="仿宋" w:cs="仿宋"/>
          <w:color w:val="000000" w:themeColor="text1"/>
          <w:sz w:val="32"/>
          <w:szCs w:val="32"/>
        </w:rPr>
        <w:t>劳动力转移就业，大规模开展职业技能培训，加大脱贫人口有组织劳务输出力度。支持“以工代赈”增加就业岗位和多渠道灵活就业，开发公益性岗位，延续扶贫车间支持政策。鼓励引导返乡入乡留乡人员创办农畜产品加工实体、农牧民合作社等经营主体，带动脱贫人口、农村牧区低收入人口就业。建立农牧民在乡务工就业监测制度，跟踪掌握农牧民就业状况。</w:t>
      </w:r>
    </w:p>
    <w:p w14:paraId="6DF63807">
      <w:pPr>
        <w:pageBreakBefore w:val="0"/>
        <w:widowControl w:val="0"/>
        <w:tabs>
          <w:tab w:val="left" w:pos="830"/>
        </w:tabs>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sz w:val="32"/>
          <w:szCs w:val="32"/>
        </w:rPr>
        <w:t>改善脱贫地区发展条件。</w:t>
      </w:r>
      <w:r>
        <w:rPr>
          <w:rFonts w:hint="eastAsia" w:ascii="仿宋" w:hAnsi="仿宋" w:eastAsia="仿宋" w:cs="仿宋"/>
          <w:color w:val="000000" w:themeColor="text1"/>
          <w:sz w:val="32"/>
          <w:szCs w:val="32"/>
        </w:rPr>
        <w:t>扩大脱贫地区基础设施建设覆盖面，促进县域内整体提升。在脱贫地区继续实施农村牧区危房改造，持续改善交通、人居环境、水利、通讯网络、广播电视、物流电商等方面硬件条件。持续支持脱贫地区人居环境整治提升和农村</w:t>
      </w:r>
      <w:r>
        <w:rPr>
          <w:rFonts w:hint="eastAsia" w:ascii="仿宋" w:hAnsi="仿宋" w:eastAsia="仿宋" w:cs="仿宋"/>
          <w:color w:val="000000" w:themeColor="text1"/>
          <w:sz w:val="32"/>
          <w:szCs w:val="32"/>
          <w:lang w:eastAsia="zh-CN"/>
        </w:rPr>
        <w:t>牧区</w:t>
      </w:r>
      <w:r>
        <w:rPr>
          <w:rFonts w:hint="eastAsia" w:ascii="仿宋" w:hAnsi="仿宋" w:eastAsia="仿宋" w:cs="仿宋"/>
          <w:color w:val="000000" w:themeColor="text1"/>
          <w:sz w:val="32"/>
          <w:szCs w:val="32"/>
        </w:rPr>
        <w:t>道路、中小型水利工程、县乡村三级物流体系、农村牧区电网等基础设施建设，推进农村牧区客运发展。进一步提升教育、医疗卫生等公共服务水平，普遍增加公费师范生培养供给，实施订单定向免费医学生培养，加大支持脱贫地区医疗卫生机构基础设施建设和设备配备力度。</w:t>
      </w:r>
    </w:p>
    <w:p w14:paraId="638FDE63">
      <w:pPr>
        <w:ind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健全低收入人口常态化帮扶机制。</w:t>
      </w:r>
      <w:r>
        <w:rPr>
          <w:rFonts w:hint="eastAsia" w:ascii="仿宋" w:hAnsi="仿宋" w:eastAsia="仿宋" w:cs="仿宋"/>
          <w:b w:val="0"/>
          <w:bCs w:val="0"/>
          <w:sz w:val="32"/>
          <w:szCs w:val="32"/>
        </w:rPr>
        <w:t>建立农村牧区</w:t>
      </w:r>
      <w:r>
        <w:rPr>
          <w:rFonts w:hint="eastAsia" w:ascii="仿宋" w:hAnsi="仿宋" w:eastAsia="仿宋" w:cs="仿宋"/>
          <w:b w:val="0"/>
          <w:bCs w:val="0"/>
          <w:sz w:val="32"/>
          <w:szCs w:val="32"/>
          <w:lang w:eastAsia="zh-CN"/>
        </w:rPr>
        <w:t>低</w:t>
      </w:r>
      <w:r>
        <w:rPr>
          <w:rFonts w:hint="eastAsia" w:ascii="仿宋" w:hAnsi="仿宋" w:eastAsia="仿宋" w:cs="仿宋"/>
          <w:b w:val="0"/>
          <w:bCs w:val="0"/>
          <w:sz w:val="32"/>
          <w:szCs w:val="32"/>
        </w:rPr>
        <w:t>收入人口动态监测信息库，</w:t>
      </w:r>
      <w:r>
        <w:rPr>
          <w:rFonts w:hint="eastAsia" w:ascii="仿宋" w:hAnsi="仿宋" w:eastAsia="仿宋" w:cs="仿宋"/>
          <w:b w:val="0"/>
          <w:bCs w:val="0"/>
          <w:sz w:val="32"/>
          <w:szCs w:val="32"/>
          <w:lang w:eastAsia="zh-CN"/>
        </w:rPr>
        <w:t>完善</w:t>
      </w:r>
      <w:r>
        <w:rPr>
          <w:rFonts w:hint="eastAsia" w:ascii="仿宋" w:hAnsi="仿宋" w:eastAsia="仿宋" w:cs="仿宋"/>
          <w:b w:val="0"/>
          <w:bCs w:val="0"/>
          <w:sz w:val="32"/>
          <w:szCs w:val="32"/>
        </w:rPr>
        <w:t>多部门联动风险预警、研判和处置机制，做到早发现、早帮扶。</w:t>
      </w:r>
      <w:r>
        <w:rPr>
          <w:rFonts w:hint="eastAsia" w:ascii="仿宋" w:hAnsi="仿宋" w:eastAsia="仿宋" w:cs="仿宋"/>
          <w:b w:val="0"/>
          <w:bCs w:val="0"/>
          <w:sz w:val="32"/>
          <w:szCs w:val="32"/>
          <w:lang w:eastAsia="zh-CN"/>
        </w:rPr>
        <w:t>对于</w:t>
      </w:r>
      <w:r>
        <w:rPr>
          <w:rFonts w:hint="eastAsia" w:ascii="仿宋" w:hAnsi="仿宋" w:eastAsia="仿宋" w:cs="仿宋"/>
          <w:b w:val="0"/>
          <w:bCs w:val="0"/>
          <w:sz w:val="32"/>
          <w:szCs w:val="32"/>
        </w:rPr>
        <w:t>脱贫人口中完全丧失劳动能力或部分丧失劳动能力且无法通过产业就业获得稳定收入的人口</w:t>
      </w:r>
      <w:r>
        <w:rPr>
          <w:rFonts w:hint="eastAsia" w:ascii="仿宋" w:hAnsi="仿宋" w:eastAsia="仿宋" w:cs="仿宋"/>
          <w:b w:val="0"/>
          <w:bCs w:val="0"/>
          <w:sz w:val="32"/>
          <w:szCs w:val="32"/>
          <w:lang w:eastAsia="zh-CN"/>
        </w:rPr>
        <w:t>，按规定及时</w:t>
      </w:r>
      <w:r>
        <w:rPr>
          <w:rFonts w:hint="eastAsia" w:ascii="仿宋" w:hAnsi="仿宋" w:eastAsia="仿宋" w:cs="仿宋"/>
          <w:b w:val="0"/>
          <w:bCs w:val="0"/>
          <w:sz w:val="32"/>
          <w:szCs w:val="32"/>
        </w:rPr>
        <w:t>纳入</w:t>
      </w:r>
      <w:r>
        <w:rPr>
          <w:rFonts w:hint="eastAsia" w:ascii="仿宋" w:hAnsi="仿宋" w:eastAsia="仿宋" w:cs="仿宋"/>
          <w:b w:val="0"/>
          <w:bCs w:val="0"/>
          <w:sz w:val="32"/>
          <w:szCs w:val="32"/>
          <w:lang w:eastAsia="zh-CN"/>
        </w:rPr>
        <w:t>低</w:t>
      </w:r>
      <w:r>
        <w:rPr>
          <w:rFonts w:hint="eastAsia" w:ascii="仿宋" w:hAnsi="仿宋" w:eastAsia="仿宋" w:cs="仿宋"/>
          <w:sz w:val="32"/>
          <w:szCs w:val="32"/>
          <w:lang w:eastAsia="zh-CN"/>
        </w:rPr>
        <w:t>保、特困等</w:t>
      </w:r>
      <w:r>
        <w:rPr>
          <w:rFonts w:hint="eastAsia" w:ascii="仿宋" w:hAnsi="仿宋" w:eastAsia="仿宋" w:cs="仿宋"/>
          <w:sz w:val="32"/>
          <w:szCs w:val="32"/>
        </w:rPr>
        <w:t>相应救助帮扶范围。</w:t>
      </w:r>
      <w:r>
        <w:rPr>
          <w:rFonts w:hint="eastAsia" w:ascii="仿宋" w:hAnsi="仿宋" w:eastAsia="仿宋" w:cs="仿宋"/>
          <w:sz w:val="32"/>
          <w:szCs w:val="32"/>
          <w:lang w:eastAsia="zh-CN"/>
        </w:rPr>
        <w:t>对于</w:t>
      </w:r>
      <w:r>
        <w:rPr>
          <w:rFonts w:hint="eastAsia" w:ascii="仿宋" w:hAnsi="仿宋" w:eastAsia="仿宋" w:cs="仿宋"/>
          <w:sz w:val="32"/>
          <w:szCs w:val="32"/>
        </w:rPr>
        <w:t>有劳动能力的低收入人口，</w:t>
      </w:r>
      <w:r>
        <w:rPr>
          <w:rFonts w:hint="eastAsia" w:ascii="仿宋" w:hAnsi="仿宋" w:eastAsia="仿宋" w:cs="仿宋"/>
          <w:sz w:val="32"/>
          <w:szCs w:val="32"/>
          <w:lang w:eastAsia="zh-CN"/>
        </w:rPr>
        <w:t>坚持</w:t>
      </w:r>
      <w:r>
        <w:rPr>
          <w:rFonts w:hint="eastAsia" w:ascii="仿宋" w:hAnsi="仿宋" w:eastAsia="仿宋" w:cs="仿宋"/>
          <w:sz w:val="32"/>
          <w:szCs w:val="32"/>
        </w:rPr>
        <w:t>开发式帮扶</w:t>
      </w:r>
      <w:r>
        <w:rPr>
          <w:rFonts w:hint="eastAsia" w:ascii="仿宋" w:hAnsi="仿宋" w:eastAsia="仿宋" w:cs="仿宋"/>
          <w:sz w:val="32"/>
          <w:szCs w:val="32"/>
          <w:lang w:eastAsia="zh-CN"/>
        </w:rPr>
        <w:t>，通过</w:t>
      </w:r>
      <w:r>
        <w:rPr>
          <w:rFonts w:hint="eastAsia" w:ascii="仿宋" w:hAnsi="仿宋" w:eastAsia="仿宋" w:cs="仿宋"/>
          <w:sz w:val="32"/>
          <w:szCs w:val="32"/>
        </w:rPr>
        <w:t>发展产业、参与就业</w:t>
      </w:r>
      <w:r>
        <w:rPr>
          <w:rFonts w:hint="eastAsia" w:ascii="仿宋" w:hAnsi="仿宋" w:eastAsia="仿宋" w:cs="仿宋"/>
          <w:sz w:val="32"/>
          <w:szCs w:val="32"/>
          <w:lang w:eastAsia="zh-CN"/>
        </w:rPr>
        <w:t>实现增收</w:t>
      </w:r>
      <w:r>
        <w:rPr>
          <w:rFonts w:hint="eastAsia" w:ascii="仿宋" w:hAnsi="仿宋" w:eastAsia="仿宋" w:cs="仿宋"/>
          <w:sz w:val="32"/>
          <w:szCs w:val="32"/>
        </w:rPr>
        <w:t>。</w:t>
      </w:r>
    </w:p>
    <w:p w14:paraId="3415C996">
      <w:pPr>
        <w:ind w:firstLine="643" w:firstLineChars="200"/>
        <w:rPr>
          <w:rFonts w:hint="eastAsia" w:ascii="仿宋" w:hAnsi="仿宋" w:eastAsia="仿宋" w:cs="仿宋"/>
          <w:color w:val="000000" w:themeColor="text1"/>
          <w:sz w:val="32"/>
          <w:szCs w:val="32"/>
        </w:rPr>
      </w:pPr>
      <w:r>
        <w:rPr>
          <w:rFonts w:hint="eastAsia" w:ascii="仿宋" w:hAnsi="仿宋" w:eastAsia="仿宋" w:cs="仿宋"/>
          <w:b/>
          <w:bCs/>
          <w:sz w:val="32"/>
          <w:szCs w:val="32"/>
        </w:rPr>
        <w:t>加大乡村振兴重点</w:t>
      </w:r>
      <w:r>
        <w:rPr>
          <w:rFonts w:hint="eastAsia" w:ascii="仿宋" w:hAnsi="仿宋" w:eastAsia="仿宋" w:cs="仿宋"/>
          <w:b/>
          <w:bCs/>
          <w:sz w:val="32"/>
          <w:szCs w:val="32"/>
          <w:lang w:eastAsia="zh-CN"/>
        </w:rPr>
        <w:t>旗县</w:t>
      </w:r>
      <w:r>
        <w:rPr>
          <w:rFonts w:hint="eastAsia" w:ascii="仿宋" w:hAnsi="仿宋" w:eastAsia="仿宋" w:cs="仿宋"/>
          <w:b/>
          <w:bCs/>
          <w:sz w:val="32"/>
          <w:szCs w:val="32"/>
        </w:rPr>
        <w:t>帮扶和社会力量帮扶力度。</w:t>
      </w:r>
      <w:r>
        <w:rPr>
          <w:rFonts w:hint="eastAsia" w:ascii="仿宋" w:hAnsi="仿宋" w:eastAsia="仿宋" w:cs="仿宋"/>
          <w:sz w:val="32"/>
          <w:szCs w:val="32"/>
        </w:rPr>
        <w:t>集中支持各级乡村振兴重点帮扶旗县（嘎查村）和</w:t>
      </w:r>
      <w:r>
        <w:rPr>
          <w:rFonts w:hint="eastAsia" w:ascii="仿宋" w:hAnsi="仿宋" w:eastAsia="仿宋" w:cs="仿宋"/>
          <w:color w:val="000000" w:themeColor="text1"/>
          <w:sz w:val="32"/>
          <w:szCs w:val="32"/>
        </w:rPr>
        <w:t>示范旗县（嘎查村），从财政、金融、土地、人才、基础设施建设和公共服务等方面加大帮扶力度，总结推广示范</w:t>
      </w:r>
      <w:r>
        <w:rPr>
          <w:rFonts w:hint="eastAsia" w:ascii="仿宋" w:hAnsi="仿宋" w:eastAsia="仿宋" w:cs="仿宋"/>
          <w:color w:val="000000" w:themeColor="text1"/>
          <w:sz w:val="32"/>
          <w:szCs w:val="32"/>
          <w:lang w:eastAsia="zh-CN"/>
        </w:rPr>
        <w:t>地区</w:t>
      </w:r>
      <w:r>
        <w:rPr>
          <w:rFonts w:hint="eastAsia" w:ascii="仿宋" w:hAnsi="仿宋" w:eastAsia="仿宋" w:cs="仿宋"/>
          <w:color w:val="000000" w:themeColor="text1"/>
          <w:sz w:val="32"/>
          <w:szCs w:val="32"/>
        </w:rPr>
        <w:t>典型经验和做法。继续推进京蒙协作、定点帮扶和社会帮扶工作，调整优化定点帮扶，加大社会力量参与力度，扎实推进“万企兴万村”行动。</w:t>
      </w:r>
    </w:p>
    <w:tbl>
      <w:tblPr>
        <w:tblStyle w:val="26"/>
        <w:tblW w:w="82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8260"/>
      </w:tblGrid>
      <w:tr w14:paraId="063E0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jc w:val="center"/>
        </w:trPr>
        <w:tc>
          <w:tcPr>
            <w:tcW w:w="8260" w:type="dxa"/>
            <w:tcBorders>
              <w:bottom w:val="single" w:color="auto" w:sz="4" w:space="0"/>
              <w:tl2br w:val="nil"/>
              <w:tr2bl w:val="nil"/>
            </w:tcBorders>
            <w:shd w:val="clear" w:color="auto" w:fill="FFFFFF" w:themeFill="background1"/>
            <w:vAlign w:val="center"/>
          </w:tcPr>
          <w:p w14:paraId="009C7263">
            <w:pPr>
              <w:spacing w:line="560" w:lineRule="exact"/>
              <w:ind w:left="210" w:right="210"/>
              <w:jc w:val="center"/>
              <w:rPr>
                <w:rFonts w:ascii="宋体" w:hAnsi="宋体" w:eastAsia="宋体" w:cs="Times New Roman"/>
                <w:color w:val="000000" w:themeColor="text1"/>
                <w:sz w:val="28"/>
                <w:szCs w:val="28"/>
              </w:rPr>
            </w:pPr>
            <w:r>
              <w:rPr>
                <w:rFonts w:hint="eastAsia" w:ascii="黑体" w:hAnsi="黑体" w:eastAsia="黑体" w:cs="黑体"/>
                <w:b w:val="0"/>
                <w:bCs w:val="0"/>
                <w:color w:val="000000" w:themeColor="text1"/>
                <w:sz w:val="28"/>
                <w:szCs w:val="28"/>
              </w:rPr>
              <w:t>专栏</w:t>
            </w:r>
            <w:r>
              <w:rPr>
                <w:rFonts w:hint="eastAsia" w:ascii="黑体" w:hAnsi="黑体" w:eastAsia="黑体" w:cs="黑体"/>
                <w:b w:val="0"/>
                <w:bCs w:val="0"/>
                <w:color w:val="000000" w:themeColor="text1"/>
                <w:sz w:val="28"/>
                <w:szCs w:val="28"/>
                <w:lang w:val="en-US" w:eastAsia="zh-CN"/>
              </w:rPr>
              <w:t>8</w:t>
            </w:r>
            <w:r>
              <w:rPr>
                <w:rFonts w:hint="eastAsia" w:ascii="黑体" w:hAnsi="黑体" w:eastAsia="黑体" w:cs="黑体"/>
                <w:b w:val="0"/>
                <w:bCs w:val="0"/>
                <w:color w:val="000000" w:themeColor="text1"/>
                <w:sz w:val="28"/>
                <w:szCs w:val="28"/>
              </w:rPr>
              <w:t xml:space="preserve">  巩固拓展脱贫攻坚成果工程</w:t>
            </w:r>
          </w:p>
        </w:tc>
      </w:tr>
      <w:tr w14:paraId="192EB5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90" w:hRule="atLeast"/>
          <w:jc w:val="center"/>
        </w:trPr>
        <w:tc>
          <w:tcPr>
            <w:tcW w:w="8260" w:type="dxa"/>
            <w:tcBorders>
              <w:top w:val="single" w:color="auto" w:sz="4" w:space="0"/>
              <w:bottom w:val="single" w:color="auto" w:sz="4" w:space="0"/>
              <w:tl2br w:val="nil"/>
              <w:tr2bl w:val="nil"/>
            </w:tcBorders>
            <w:shd w:val="clear" w:color="auto" w:fill="FFFFFF" w:themeFill="background1"/>
          </w:tcPr>
          <w:p w14:paraId="090F0F14">
            <w:pPr>
              <w:pStyle w:val="22"/>
              <w:spacing w:before="0" w:beforeAutospacing="0" w:after="0" w:afterAutospacing="0" w:line="400" w:lineRule="exact"/>
              <w:ind w:left="239" w:leftChars="114" w:firstLine="480" w:firstLineChars="200"/>
              <w:jc w:val="both"/>
              <w:rPr>
                <w:rFonts w:ascii="仿宋" w:hAnsi="仿宋" w:eastAsia="仿宋" w:cs="仿宋"/>
                <w:color w:val="000000" w:themeColor="text1"/>
              </w:rPr>
            </w:pPr>
            <w:r>
              <w:rPr>
                <w:rFonts w:ascii="黑体" w:hAnsi="黑体" w:eastAsia="黑体" w:cs="黑体"/>
                <w:color w:val="000000" w:themeColor="text1"/>
              </w:rPr>
              <w:t>1.特色种养业提升行动</w:t>
            </w:r>
            <w:r>
              <w:rPr>
                <w:rFonts w:hint="eastAsia" w:ascii="黑体" w:hAnsi="黑体" w:eastAsia="黑体" w:cs="黑体"/>
                <w:color w:val="000000" w:themeColor="text1"/>
                <w:lang w:val="en-US" w:eastAsia="zh-CN"/>
              </w:rPr>
              <w:t>。</w:t>
            </w:r>
            <w:r>
              <w:rPr>
                <w:rFonts w:hint="eastAsia" w:ascii="仿宋" w:hAnsi="仿宋" w:eastAsia="仿宋" w:cs="仿宋"/>
                <w:color w:val="000000" w:themeColor="text1"/>
              </w:rPr>
              <w:t>组织脱贫</w:t>
            </w:r>
            <w:r>
              <w:rPr>
                <w:rFonts w:hint="eastAsia" w:ascii="仿宋" w:hAnsi="仿宋" w:eastAsia="仿宋" w:cs="仿宋"/>
                <w:color w:val="000000" w:themeColor="text1"/>
                <w:lang w:eastAsia="zh-CN"/>
              </w:rPr>
              <w:t>旗县</w:t>
            </w:r>
            <w:r>
              <w:rPr>
                <w:rFonts w:hint="eastAsia" w:ascii="仿宋" w:hAnsi="仿宋" w:eastAsia="仿宋" w:cs="仿宋"/>
                <w:color w:val="000000" w:themeColor="text1"/>
              </w:rPr>
              <w:t>编制特色产业发展规划，因地制宜发展肉牛、肉羊、奶业、马铃薯、玉米、小麦、药材、燕麦、杂粮杂豆、饲草料、蔬菜等优特色产业，加快农</w:t>
            </w:r>
            <w:r>
              <w:rPr>
                <w:rFonts w:hint="eastAsia" w:ascii="仿宋" w:hAnsi="仿宋" w:eastAsia="仿宋" w:cs="仿宋"/>
                <w:color w:val="000000" w:themeColor="text1"/>
                <w:lang w:eastAsia="zh-CN"/>
              </w:rPr>
              <w:t>畜</w:t>
            </w:r>
            <w:r>
              <w:rPr>
                <w:rFonts w:hint="eastAsia" w:ascii="仿宋" w:hAnsi="仿宋" w:eastAsia="仿宋" w:cs="仿宋"/>
                <w:color w:val="000000" w:themeColor="text1"/>
              </w:rPr>
              <w:t>产品仓储保鲜、冷链物流设施建设，持续推进特色农</w:t>
            </w:r>
            <w:r>
              <w:rPr>
                <w:rFonts w:hint="eastAsia" w:ascii="仿宋" w:hAnsi="仿宋" w:eastAsia="仿宋" w:cs="仿宋"/>
                <w:color w:val="000000" w:themeColor="text1"/>
                <w:lang w:eastAsia="zh-CN"/>
              </w:rPr>
              <w:t>畜</w:t>
            </w:r>
            <w:r>
              <w:rPr>
                <w:rFonts w:hint="eastAsia" w:ascii="仿宋" w:hAnsi="仿宋" w:eastAsia="仿宋" w:cs="仿宋"/>
                <w:color w:val="000000" w:themeColor="text1"/>
              </w:rPr>
              <w:t>产品品牌创建和产销精准对接。</w:t>
            </w:r>
          </w:p>
          <w:p w14:paraId="1093123D">
            <w:pPr>
              <w:pStyle w:val="22"/>
              <w:spacing w:before="0" w:beforeAutospacing="0" w:after="0" w:afterAutospacing="0" w:line="400" w:lineRule="exact"/>
              <w:ind w:left="239" w:leftChars="114" w:firstLine="480" w:firstLineChars="200"/>
              <w:jc w:val="both"/>
              <w:rPr>
                <w:rFonts w:ascii="仿宋" w:hAnsi="仿宋" w:eastAsia="仿宋" w:cs="仿宋"/>
                <w:color w:val="000000" w:themeColor="text1"/>
              </w:rPr>
            </w:pPr>
            <w:r>
              <w:rPr>
                <w:rFonts w:ascii="黑体" w:hAnsi="黑体" w:eastAsia="黑体" w:cs="黑体"/>
                <w:color w:val="000000" w:themeColor="text1"/>
              </w:rPr>
              <w:t>2.以工代赈工程</w:t>
            </w:r>
            <w:r>
              <w:rPr>
                <w:rFonts w:hint="eastAsia" w:ascii="黑体" w:hAnsi="黑体" w:eastAsia="黑体" w:cs="黑体"/>
                <w:color w:val="000000" w:themeColor="text1"/>
                <w:lang w:eastAsia="zh-CN"/>
              </w:rPr>
              <w:t>。</w:t>
            </w:r>
            <w:r>
              <w:rPr>
                <w:rFonts w:hint="eastAsia" w:ascii="仿宋" w:hAnsi="仿宋" w:eastAsia="仿宋" w:cs="仿宋"/>
                <w:color w:val="000000" w:themeColor="text1"/>
              </w:rPr>
              <w:t>在脱贫地区实施的</w:t>
            </w:r>
            <w:r>
              <w:rPr>
                <w:rFonts w:hint="eastAsia" w:ascii="仿宋" w:hAnsi="仿宋" w:eastAsia="仿宋" w:cs="仿宋"/>
                <w:color w:val="000000" w:themeColor="text1"/>
                <w:lang w:eastAsia="zh-CN"/>
              </w:rPr>
              <w:t>农牧业农村牧区</w:t>
            </w:r>
            <w:r>
              <w:rPr>
                <w:rFonts w:hint="eastAsia" w:ascii="仿宋" w:hAnsi="仿宋" w:eastAsia="仿宋" w:cs="仿宋"/>
                <w:color w:val="000000" w:themeColor="text1"/>
              </w:rPr>
              <w:t>基础设施建设项目</w:t>
            </w:r>
            <w:r>
              <w:rPr>
                <w:rFonts w:hint="eastAsia" w:ascii="仿宋" w:hAnsi="仿宋" w:eastAsia="仿宋" w:cs="仿宋"/>
                <w:color w:val="000000" w:themeColor="text1"/>
                <w:lang w:eastAsia="zh-CN"/>
              </w:rPr>
              <w:t>，</w:t>
            </w:r>
            <w:r>
              <w:rPr>
                <w:rFonts w:hint="eastAsia" w:ascii="仿宋" w:hAnsi="仿宋" w:eastAsia="仿宋" w:cs="仿宋"/>
                <w:color w:val="000000" w:themeColor="text1"/>
              </w:rPr>
              <w:t>优先吸纳已脱贫户特别是脱贫不稳定户、边缘易致贫户和其他农村</w:t>
            </w:r>
            <w:r>
              <w:rPr>
                <w:rFonts w:hint="eastAsia" w:ascii="仿宋" w:hAnsi="仿宋" w:eastAsia="仿宋" w:cs="仿宋"/>
                <w:color w:val="000000" w:themeColor="text1"/>
                <w:lang w:eastAsia="zh-CN"/>
              </w:rPr>
              <w:t>牧区</w:t>
            </w:r>
            <w:r>
              <w:rPr>
                <w:rFonts w:hint="eastAsia" w:ascii="仿宋" w:hAnsi="仿宋" w:eastAsia="仿宋" w:cs="仿宋"/>
                <w:color w:val="000000" w:themeColor="text1"/>
              </w:rPr>
              <w:t>低收入人口参与工程建设，助推脱贫人口增收。</w:t>
            </w:r>
          </w:p>
          <w:p w14:paraId="4D4E5E04">
            <w:pPr>
              <w:pStyle w:val="22"/>
              <w:spacing w:before="0" w:beforeAutospacing="0" w:after="0" w:afterAutospacing="0" w:line="400" w:lineRule="exact"/>
              <w:ind w:left="239" w:leftChars="114" w:firstLine="480" w:firstLineChars="200"/>
              <w:jc w:val="both"/>
              <w:rPr>
                <w:rFonts w:ascii="仿宋" w:hAnsi="仿宋" w:eastAsia="仿宋" w:cs="仿宋"/>
                <w:color w:val="000000" w:themeColor="text1"/>
              </w:rPr>
            </w:pPr>
            <w:r>
              <w:rPr>
                <w:rFonts w:ascii="黑体" w:hAnsi="黑体" w:eastAsia="黑体" w:cs="黑体"/>
                <w:color w:val="000000" w:themeColor="text1"/>
              </w:rPr>
              <w:t>3.乡村振兴重点帮扶</w:t>
            </w:r>
            <w:r>
              <w:rPr>
                <w:rFonts w:hint="eastAsia" w:ascii="黑体" w:hAnsi="黑体" w:eastAsia="黑体" w:cs="黑体"/>
                <w:color w:val="000000" w:themeColor="text1"/>
                <w:lang w:eastAsia="zh-CN"/>
              </w:rPr>
              <w:t>旗县</w:t>
            </w:r>
            <w:r>
              <w:rPr>
                <w:rFonts w:ascii="黑体" w:hAnsi="黑体" w:eastAsia="黑体" w:cs="黑体"/>
                <w:color w:val="000000" w:themeColor="text1"/>
              </w:rPr>
              <w:t>集中支持</w:t>
            </w:r>
            <w:r>
              <w:rPr>
                <w:rFonts w:hint="eastAsia" w:ascii="黑体" w:hAnsi="黑体" w:eastAsia="黑体" w:cs="黑体"/>
                <w:color w:val="000000" w:themeColor="text1"/>
                <w:lang w:eastAsia="zh-CN"/>
              </w:rPr>
              <w:t>。</w:t>
            </w:r>
            <w:r>
              <w:rPr>
                <w:rFonts w:hint="eastAsia" w:ascii="仿宋" w:hAnsi="仿宋" w:eastAsia="仿宋" w:cs="仿宋"/>
                <w:color w:val="000000" w:themeColor="text1"/>
              </w:rPr>
              <w:t>从财政、金融、土地、人才、基础设施建设、公共服务等方面，加大对各级乡村振兴重点帮扶</w:t>
            </w:r>
            <w:r>
              <w:rPr>
                <w:rFonts w:hint="eastAsia" w:ascii="仿宋" w:hAnsi="仿宋" w:eastAsia="仿宋" w:cs="仿宋"/>
                <w:color w:val="000000" w:themeColor="text1"/>
                <w:lang w:eastAsia="zh-CN"/>
              </w:rPr>
              <w:t>地区</w:t>
            </w:r>
            <w:r>
              <w:rPr>
                <w:rFonts w:hint="eastAsia" w:ascii="仿宋" w:hAnsi="仿宋" w:eastAsia="仿宋" w:cs="仿宋"/>
                <w:color w:val="000000" w:themeColor="text1"/>
              </w:rPr>
              <w:t>的支持力度，增强区域发展能力。</w:t>
            </w:r>
          </w:p>
          <w:p w14:paraId="6DAB95C5">
            <w:pPr>
              <w:pStyle w:val="22"/>
              <w:spacing w:before="0" w:beforeAutospacing="0" w:after="0" w:afterAutospacing="0" w:line="400" w:lineRule="exact"/>
              <w:ind w:left="239" w:leftChars="114" w:firstLine="480" w:firstLineChars="200"/>
              <w:jc w:val="both"/>
              <w:rPr>
                <w:rFonts w:ascii="仿宋" w:hAnsi="仿宋" w:eastAsia="仿宋" w:cs="仿宋"/>
                <w:color w:val="000000" w:themeColor="text1"/>
              </w:rPr>
            </w:pPr>
            <w:r>
              <w:rPr>
                <w:rFonts w:ascii="黑体" w:hAnsi="黑体" w:eastAsia="黑体" w:cs="黑体"/>
                <w:color w:val="000000" w:themeColor="text1"/>
              </w:rPr>
              <w:t>4.定点帮扶</w:t>
            </w:r>
            <w:r>
              <w:rPr>
                <w:rFonts w:hint="eastAsia" w:ascii="黑体" w:hAnsi="黑体" w:eastAsia="黑体" w:cs="黑体"/>
                <w:color w:val="000000" w:themeColor="text1"/>
                <w:lang w:eastAsia="zh-CN"/>
              </w:rPr>
              <w:t>。</w:t>
            </w:r>
            <w:r>
              <w:rPr>
                <w:rFonts w:hint="eastAsia" w:ascii="仿宋" w:hAnsi="仿宋" w:eastAsia="仿宋" w:cs="仿宋"/>
                <w:color w:val="000000" w:themeColor="text1"/>
              </w:rPr>
              <w:t>发挥帮扶单位人才、信息、资源等方面优势，创新帮扶举措，帮助定点帮扶</w:t>
            </w:r>
            <w:r>
              <w:rPr>
                <w:rFonts w:hint="eastAsia" w:ascii="仿宋" w:hAnsi="仿宋" w:eastAsia="仿宋" w:cs="仿宋"/>
                <w:color w:val="000000" w:themeColor="text1"/>
                <w:lang w:eastAsia="zh-CN"/>
              </w:rPr>
              <w:t>地区</w:t>
            </w:r>
            <w:r>
              <w:rPr>
                <w:rFonts w:hint="eastAsia" w:ascii="仿宋" w:hAnsi="仿宋" w:eastAsia="仿宋" w:cs="仿宋"/>
                <w:color w:val="000000" w:themeColor="text1"/>
              </w:rPr>
              <w:t>特别是乡村振兴重点帮扶</w:t>
            </w:r>
            <w:r>
              <w:rPr>
                <w:rFonts w:hint="eastAsia" w:ascii="仿宋" w:hAnsi="仿宋" w:eastAsia="仿宋" w:cs="仿宋"/>
                <w:color w:val="000000" w:themeColor="text1"/>
                <w:lang w:eastAsia="zh-CN"/>
              </w:rPr>
              <w:t>地区</w:t>
            </w:r>
            <w:r>
              <w:rPr>
                <w:rFonts w:hint="eastAsia" w:ascii="仿宋" w:hAnsi="仿宋" w:eastAsia="仿宋" w:cs="仿宋"/>
                <w:color w:val="000000" w:themeColor="text1"/>
              </w:rPr>
              <w:t>发展特色主导产业</w:t>
            </w:r>
            <w:r>
              <w:rPr>
                <w:rFonts w:hint="eastAsia" w:ascii="仿宋" w:hAnsi="仿宋" w:eastAsia="仿宋" w:cs="仿宋"/>
                <w:color w:val="000000" w:themeColor="text1"/>
                <w:lang w:eastAsia="zh-CN"/>
              </w:rPr>
              <w:t>，</w:t>
            </w:r>
            <w:r>
              <w:rPr>
                <w:rFonts w:hint="eastAsia" w:ascii="仿宋" w:hAnsi="仿宋" w:eastAsia="仿宋" w:cs="仿宋"/>
                <w:color w:val="000000" w:themeColor="text1"/>
              </w:rPr>
              <w:t>拓展农</w:t>
            </w:r>
            <w:r>
              <w:rPr>
                <w:rFonts w:hint="eastAsia" w:ascii="仿宋" w:hAnsi="仿宋" w:eastAsia="仿宋" w:cs="仿宋"/>
                <w:color w:val="000000" w:themeColor="text1"/>
                <w:lang w:eastAsia="zh-CN"/>
              </w:rPr>
              <w:t>畜</w:t>
            </w:r>
            <w:r>
              <w:rPr>
                <w:rFonts w:hint="eastAsia" w:ascii="仿宋" w:hAnsi="仿宋" w:eastAsia="仿宋" w:cs="仿宋"/>
                <w:color w:val="000000" w:themeColor="text1"/>
              </w:rPr>
              <w:t>产品销售渠道，继续选派挂职干部，强化当地人才培养。</w:t>
            </w:r>
          </w:p>
          <w:p w14:paraId="3283CF8D">
            <w:pPr>
              <w:pStyle w:val="22"/>
              <w:spacing w:before="0" w:beforeAutospacing="0" w:after="0" w:afterAutospacing="0" w:line="400" w:lineRule="exact"/>
              <w:ind w:left="239" w:leftChars="114" w:firstLine="480" w:firstLineChars="200"/>
              <w:jc w:val="both"/>
              <w:rPr>
                <w:rFonts w:ascii="仿宋" w:hAnsi="仿宋" w:eastAsia="仿宋" w:cs="仿宋"/>
                <w:color w:val="000000" w:themeColor="text1"/>
              </w:rPr>
            </w:pPr>
            <w:r>
              <w:rPr>
                <w:rFonts w:ascii="黑体" w:hAnsi="黑体" w:eastAsia="黑体" w:cs="黑体"/>
                <w:color w:val="000000" w:themeColor="text1"/>
              </w:rPr>
              <w:t>5.“万企兴万村”行动</w:t>
            </w:r>
            <w:r>
              <w:rPr>
                <w:rFonts w:hint="eastAsia" w:ascii="黑体" w:hAnsi="黑体" w:eastAsia="黑体" w:cs="黑体"/>
                <w:color w:val="000000" w:themeColor="text1"/>
                <w:lang w:eastAsia="zh-CN"/>
              </w:rPr>
              <w:t>。</w:t>
            </w:r>
            <w:r>
              <w:rPr>
                <w:rFonts w:hint="eastAsia" w:ascii="仿宋" w:hAnsi="仿宋" w:eastAsia="仿宋" w:cs="仿宋"/>
                <w:color w:val="000000" w:themeColor="text1"/>
              </w:rPr>
              <w:t>聚焦</w:t>
            </w:r>
            <w:r>
              <w:rPr>
                <w:rFonts w:hint="eastAsia" w:ascii="仿宋" w:hAnsi="仿宋" w:eastAsia="仿宋" w:cs="仿宋"/>
                <w:color w:val="000000" w:themeColor="text1"/>
                <w:lang w:eastAsia="zh-CN"/>
              </w:rPr>
              <w:t>农</w:t>
            </w:r>
            <w:r>
              <w:rPr>
                <w:rFonts w:hint="eastAsia" w:ascii="仿宋" w:hAnsi="仿宋" w:eastAsia="仿宋" w:cs="仿宋"/>
                <w:color w:val="000000" w:themeColor="text1"/>
              </w:rPr>
              <w:t>村牧区产业和</w:t>
            </w:r>
            <w:r>
              <w:rPr>
                <w:rFonts w:hint="eastAsia" w:ascii="仿宋" w:hAnsi="仿宋" w:eastAsia="仿宋" w:cs="仿宋"/>
                <w:color w:val="000000" w:themeColor="text1"/>
                <w:lang w:eastAsia="zh-CN"/>
              </w:rPr>
              <w:t>农</w:t>
            </w:r>
            <w:r>
              <w:rPr>
                <w:rFonts w:hint="eastAsia" w:ascii="仿宋" w:hAnsi="仿宋" w:eastAsia="仿宋" w:cs="仿宋"/>
                <w:color w:val="000000" w:themeColor="text1"/>
              </w:rPr>
              <w:t>村牧区建设，引导民营企业推动脱贫地区优势特色产业发展，积极参与农村</w:t>
            </w:r>
            <w:r>
              <w:rPr>
                <w:rFonts w:hint="eastAsia" w:ascii="仿宋" w:hAnsi="仿宋" w:eastAsia="仿宋" w:cs="仿宋"/>
                <w:color w:val="000000" w:themeColor="text1"/>
                <w:lang w:eastAsia="zh-CN"/>
              </w:rPr>
              <w:t>牧区</w:t>
            </w:r>
            <w:r>
              <w:rPr>
                <w:rFonts w:hint="eastAsia" w:ascii="仿宋" w:hAnsi="仿宋" w:eastAsia="仿宋" w:cs="仿宋"/>
                <w:color w:val="000000" w:themeColor="text1"/>
              </w:rPr>
              <w:t>基础设施建设和公共服务提升，带动更多资源和要素投向</w:t>
            </w:r>
            <w:r>
              <w:rPr>
                <w:rFonts w:hint="eastAsia" w:ascii="仿宋" w:hAnsi="仿宋" w:eastAsia="仿宋" w:cs="仿宋"/>
                <w:color w:val="000000" w:themeColor="text1"/>
                <w:lang w:eastAsia="zh-CN"/>
              </w:rPr>
              <w:t>农</w:t>
            </w:r>
            <w:r>
              <w:rPr>
                <w:rFonts w:hint="eastAsia" w:ascii="仿宋" w:hAnsi="仿宋" w:eastAsia="仿宋" w:cs="仿宋"/>
                <w:color w:val="000000" w:themeColor="text1"/>
              </w:rPr>
              <w:t>村牧区。</w:t>
            </w:r>
          </w:p>
        </w:tc>
      </w:tr>
    </w:tbl>
    <w:p w14:paraId="69096BF1">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2"/>
        </w:rPr>
      </w:pPr>
      <w:bookmarkStart w:id="468" w:name="_Toc30835"/>
      <w:bookmarkStart w:id="469" w:name="_Toc29550"/>
      <w:bookmarkStart w:id="470" w:name="_Toc29356"/>
      <w:bookmarkStart w:id="471" w:name="_Toc16465"/>
      <w:bookmarkStart w:id="472" w:name="_Toc809722495_WPSOffice_Level2"/>
      <w:r>
        <w:rPr>
          <w:rFonts w:hint="eastAsia" w:ascii="Calibri Light" w:hAnsi="Calibri Light" w:cs="Times New Roman"/>
          <w:b w:val="0"/>
          <w:bCs w:val="0"/>
          <w:sz w:val="32"/>
          <w:szCs w:val="32"/>
        </w:rPr>
        <w:t>第二节 多渠道增加农牧民收入</w:t>
      </w:r>
      <w:bookmarkEnd w:id="458"/>
      <w:bookmarkEnd w:id="459"/>
      <w:bookmarkEnd w:id="460"/>
      <w:bookmarkEnd w:id="461"/>
      <w:bookmarkEnd w:id="468"/>
      <w:bookmarkEnd w:id="469"/>
      <w:bookmarkEnd w:id="470"/>
      <w:bookmarkEnd w:id="471"/>
      <w:bookmarkEnd w:id="472"/>
    </w:p>
    <w:p w14:paraId="13909C3E">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挖掘现代农牧业增收潜力。</w:t>
      </w:r>
      <w:r>
        <w:rPr>
          <w:rFonts w:hint="eastAsia" w:ascii="仿宋" w:hAnsi="仿宋" w:eastAsia="仿宋" w:cs="仿宋"/>
          <w:color w:val="000000" w:themeColor="text1"/>
          <w:sz w:val="32"/>
          <w:szCs w:val="32"/>
        </w:rPr>
        <w:t>加快牲畜品种改良，</w:t>
      </w:r>
      <w:r>
        <w:rPr>
          <w:rFonts w:hint="eastAsia" w:ascii="仿宋" w:hAnsi="仿宋" w:eastAsia="仿宋" w:cs="仿宋"/>
          <w:color w:val="000000" w:themeColor="text1"/>
          <w:sz w:val="32"/>
          <w:szCs w:val="32"/>
          <w:lang w:eastAsia="zh-CN"/>
        </w:rPr>
        <w:t>提升</w:t>
      </w:r>
      <w:r>
        <w:rPr>
          <w:rFonts w:hint="eastAsia" w:ascii="仿宋" w:hAnsi="仿宋" w:eastAsia="仿宋" w:cs="仿宋"/>
          <w:color w:val="000000" w:themeColor="text1"/>
          <w:sz w:val="32"/>
          <w:szCs w:val="32"/>
        </w:rPr>
        <w:t>饲养管理</w:t>
      </w:r>
      <w:r>
        <w:rPr>
          <w:rFonts w:hint="eastAsia" w:ascii="仿宋" w:hAnsi="仿宋" w:eastAsia="仿宋" w:cs="仿宋"/>
          <w:color w:val="000000" w:themeColor="text1"/>
          <w:sz w:val="32"/>
          <w:szCs w:val="32"/>
          <w:lang w:eastAsia="zh-CN"/>
        </w:rPr>
        <w:t>水平</w:t>
      </w:r>
      <w:r>
        <w:rPr>
          <w:rFonts w:hint="eastAsia" w:ascii="仿宋" w:hAnsi="仿宋" w:eastAsia="仿宋" w:cs="仿宋"/>
          <w:color w:val="000000" w:themeColor="text1"/>
          <w:sz w:val="32"/>
          <w:szCs w:val="32"/>
        </w:rPr>
        <w:t>，推进农牧业提质增效。加快发展订单直销、连锁配送、电子商务等现代流通方式，促进农牧业产业经营组织方式变革。积极开发农牧业多种功能，挖掘农牧业生态价值、休闲价值、文化价值，拓展农牧业内涵、外延和发展领域。完善紧密型利益联结机制，推广“龙头企业+合作社+农牧户”等模式，通过订单保底收购、土地流转、优先聘用、二次利润返还、股份分红等多种利益联结形式，</w:t>
      </w:r>
      <w:r>
        <w:rPr>
          <w:rFonts w:hint="eastAsia" w:ascii="仿宋" w:hAnsi="仿宋" w:eastAsia="仿宋" w:cs="仿宋"/>
          <w:sz w:val="32"/>
          <w:szCs w:val="32"/>
        </w:rPr>
        <w:t>促进农牧户与现代农牧业发展有机衔接，</w:t>
      </w:r>
      <w:r>
        <w:rPr>
          <w:rFonts w:hint="eastAsia" w:ascii="仿宋" w:hAnsi="仿宋" w:eastAsia="仿宋" w:cs="仿宋"/>
          <w:color w:val="000000" w:themeColor="text1"/>
          <w:sz w:val="32"/>
          <w:szCs w:val="32"/>
        </w:rPr>
        <w:t>将农牧民镶嵌到产业发展链条中，共享产业融合发展的增值收益。</w:t>
      </w:r>
      <w:bookmarkStart w:id="473" w:name="_Toc58870122"/>
      <w:bookmarkStart w:id="474" w:name="_Toc57041431"/>
      <w:bookmarkStart w:id="475" w:name="_Toc59000530"/>
    </w:p>
    <w:p w14:paraId="59E7E999">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sz w:val="32"/>
          <w:szCs w:val="32"/>
        </w:rPr>
        <w:t>推动农牧民高质量就业创业。</w:t>
      </w:r>
      <w:r>
        <w:rPr>
          <w:rFonts w:hint="eastAsia" w:ascii="仿宋" w:hAnsi="仿宋" w:eastAsia="仿宋" w:cs="仿宋"/>
          <w:color w:val="000000" w:themeColor="text1"/>
          <w:sz w:val="32"/>
          <w:szCs w:val="32"/>
        </w:rPr>
        <w:t>加强京蒙劳务对接和周边地区劳务对接，开展“春风行动”、“大型网络招聘月”等专项活动，搭建用工信息平台，促进农村牧区劳动力有序转移就业。发展家政、养老、护理等生活性服务业和电子商务、物流、旅游休闲、健康养老等产业，拓宽农牧民就业空间。落实税费减免、失业保险稳岗返还、培训补贴、社会保险补贴等政策，鼓励企业吸纳农村牧区劳动力。采取“以工代赈”等方式，引导农村牧区劳动力参与农田水利、村庄道路、人居环境整治、乡村绿化等工程项目建设。实施“创业</w:t>
      </w:r>
      <w:r>
        <w:rPr>
          <w:rFonts w:hint="eastAsia" w:ascii="仿宋" w:hAnsi="仿宋" w:eastAsia="仿宋" w:cs="仿宋"/>
          <w:color w:val="000000" w:themeColor="text1"/>
          <w:sz w:val="32"/>
          <w:szCs w:val="32"/>
          <w:lang w:eastAsia="zh-CN"/>
        </w:rPr>
        <w:t>锡林郭勒</w:t>
      </w:r>
      <w:r>
        <w:rPr>
          <w:rFonts w:hint="eastAsia" w:ascii="仿宋" w:hAnsi="仿宋" w:eastAsia="仿宋" w:cs="仿宋"/>
          <w:color w:val="000000" w:themeColor="text1"/>
          <w:sz w:val="32"/>
          <w:szCs w:val="32"/>
        </w:rPr>
        <w:t>”行动，通过培训指导、贴息贷款、减免税费等方式，鼓励和支持农牧民工自主创业和返乡创业。规范招工用工制度，健全农牧民工劳动权益保护机制。落实农牧民工在户籍地、常住地、就业地、参保地办理失业登记，大力推进农牧业产业化，努力增加就业岗位和创业机会。提高新生代农牧民工职业技能培训的针对性，健全农牧民工输出输入地劳务对接机制。“十四五”期间，农村牧区劳动力年均转移就业人数达到7万人次以上。</w:t>
      </w:r>
    </w:p>
    <w:bookmarkEnd w:id="473"/>
    <w:bookmarkEnd w:id="474"/>
    <w:bookmarkEnd w:id="475"/>
    <w:p w14:paraId="205F29A3">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theme="minorBidi"/>
          <w:sz w:val="32"/>
          <w:szCs w:val="32"/>
        </w:rPr>
      </w:pPr>
      <w:bookmarkStart w:id="476" w:name="_Toc59000531"/>
      <w:bookmarkStart w:id="477" w:name="_Toc57041432"/>
      <w:bookmarkStart w:id="478" w:name="_Toc58870123"/>
      <w:r>
        <w:rPr>
          <w:rFonts w:hint="eastAsia" w:ascii="仿宋" w:hAnsi="仿宋" w:eastAsia="仿宋" w:cs="仿宋"/>
          <w:b/>
          <w:bCs/>
          <w:sz w:val="32"/>
          <w:szCs w:val="32"/>
        </w:rPr>
        <w:t>促进农牧民政策性和转移性增收。</w:t>
      </w:r>
      <w:r>
        <w:rPr>
          <w:rFonts w:hint="eastAsia" w:ascii="仿宋" w:hAnsi="仿宋" w:eastAsia="仿宋" w:cstheme="minorBidi"/>
          <w:sz w:val="32"/>
          <w:szCs w:val="32"/>
        </w:rPr>
        <w:t>不折不扣贯彻</w:t>
      </w:r>
      <w:r>
        <w:rPr>
          <w:rFonts w:hint="eastAsia" w:ascii="仿宋" w:hAnsi="仿宋" w:eastAsia="仿宋" w:cstheme="minorBidi"/>
          <w:sz w:val="32"/>
          <w:szCs w:val="32"/>
          <w:lang w:eastAsia="zh-CN"/>
        </w:rPr>
        <w:t>各级</w:t>
      </w:r>
      <w:r>
        <w:rPr>
          <w:rFonts w:hint="eastAsia" w:ascii="仿宋" w:hAnsi="仿宋" w:eastAsia="仿宋" w:cstheme="minorBidi"/>
          <w:sz w:val="32"/>
          <w:szCs w:val="32"/>
        </w:rPr>
        <w:t>惠农惠牧、强农强牧等农牧业补贴政策，认真落实兑现草原生态保护补助奖励、农机具购置补贴、农业支持保护补贴、公益林补贴等普惠</w:t>
      </w:r>
      <w:r>
        <w:rPr>
          <w:rFonts w:hint="eastAsia" w:ascii="仿宋" w:hAnsi="仿宋" w:eastAsia="仿宋" w:cstheme="minorBidi"/>
          <w:sz w:val="32"/>
          <w:szCs w:val="32"/>
          <w:lang w:eastAsia="zh-CN"/>
        </w:rPr>
        <w:t>措施</w:t>
      </w:r>
      <w:r>
        <w:rPr>
          <w:rFonts w:hint="eastAsia" w:ascii="仿宋" w:hAnsi="仿宋" w:eastAsia="仿宋" w:cstheme="minorBidi"/>
          <w:sz w:val="32"/>
          <w:szCs w:val="32"/>
        </w:rPr>
        <w:t>。完善农村牧区社会保障制度，提高农牧民医疗报销比例。深化农村牧区改革和制度创新，规范</w:t>
      </w:r>
      <w:r>
        <w:rPr>
          <w:rFonts w:hint="eastAsia" w:ascii="仿宋" w:hAnsi="仿宋" w:eastAsia="仿宋" w:cstheme="minorBidi"/>
          <w:sz w:val="32"/>
          <w:szCs w:val="32"/>
          <w:lang w:eastAsia="zh-CN"/>
        </w:rPr>
        <w:t>土地、</w:t>
      </w:r>
      <w:r>
        <w:rPr>
          <w:rFonts w:hint="eastAsia" w:ascii="仿宋" w:hAnsi="仿宋" w:eastAsia="仿宋" w:cstheme="minorBidi"/>
          <w:sz w:val="32"/>
          <w:szCs w:val="32"/>
        </w:rPr>
        <w:t>草场流转，鼓励、支持</w:t>
      </w:r>
      <w:r>
        <w:rPr>
          <w:rFonts w:hint="eastAsia" w:ascii="仿宋" w:hAnsi="仿宋" w:eastAsia="仿宋" w:cstheme="minorBidi"/>
          <w:sz w:val="32"/>
          <w:szCs w:val="32"/>
          <w:lang w:eastAsia="zh-CN"/>
        </w:rPr>
        <w:t>土地、草场资源</w:t>
      </w:r>
      <w:r>
        <w:rPr>
          <w:rFonts w:hint="eastAsia" w:ascii="仿宋" w:hAnsi="仿宋" w:eastAsia="仿宋" w:cstheme="minorBidi"/>
          <w:sz w:val="32"/>
          <w:szCs w:val="32"/>
        </w:rPr>
        <w:t>向新型规模经营主体相对集中，增加承包户转让经营权租金收入，落实农牧民对集体资产股份占有、收益、有偿退出及抵押、担保、继承六项权能。健全资源开发、征地拆迁补偿机制，</w:t>
      </w:r>
      <w:r>
        <w:rPr>
          <w:rFonts w:hint="eastAsia" w:ascii="仿宋" w:hAnsi="仿宋" w:eastAsia="仿宋" w:cstheme="minorBidi"/>
          <w:sz w:val="32"/>
          <w:szCs w:val="32"/>
          <w:lang w:eastAsia="zh-CN"/>
        </w:rPr>
        <w:t>广泛拓展</w:t>
      </w:r>
      <w:r>
        <w:rPr>
          <w:rFonts w:hint="eastAsia" w:ascii="仿宋" w:hAnsi="仿宋" w:eastAsia="仿宋" w:cstheme="minorBidi"/>
          <w:sz w:val="32"/>
          <w:szCs w:val="32"/>
        </w:rPr>
        <w:t>农牧民增收致富门路。拓宽农牧民投资渠道，增强农牧民投资意识，鼓励农牧民利用富余资金、实物资产、经营权等参股公司企业、农牧民合作社、家庭农</w:t>
      </w:r>
      <w:r>
        <w:rPr>
          <w:rFonts w:hint="eastAsia" w:ascii="仿宋" w:hAnsi="仿宋" w:eastAsia="仿宋" w:cstheme="minorBidi"/>
          <w:sz w:val="32"/>
          <w:szCs w:val="32"/>
          <w:lang w:eastAsia="zh-CN"/>
        </w:rPr>
        <w:t>牧</w:t>
      </w:r>
      <w:r>
        <w:rPr>
          <w:rFonts w:hint="eastAsia" w:ascii="仿宋" w:hAnsi="仿宋" w:eastAsia="仿宋" w:cstheme="minorBidi"/>
          <w:sz w:val="32"/>
          <w:szCs w:val="32"/>
        </w:rPr>
        <w:t>场和农牧业社会化服务组织等获得股权收入。</w:t>
      </w:r>
      <w:bookmarkEnd w:id="476"/>
      <w:bookmarkEnd w:id="477"/>
      <w:bookmarkEnd w:id="478"/>
    </w:p>
    <w:p w14:paraId="49E5C1AC">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2"/>
        </w:rPr>
      </w:pPr>
      <w:bookmarkStart w:id="479" w:name="_Toc15021"/>
      <w:bookmarkStart w:id="480" w:name="_Toc30677"/>
      <w:bookmarkStart w:id="481" w:name="_Toc23441"/>
      <w:bookmarkStart w:id="482" w:name="_Toc1580133582_WPSOffice_Level2"/>
      <w:bookmarkStart w:id="483" w:name="_Toc5162"/>
      <w:r>
        <w:rPr>
          <w:rFonts w:hint="eastAsia" w:ascii="Calibri Light" w:hAnsi="Calibri Light" w:cs="Times New Roman"/>
          <w:b w:val="0"/>
          <w:bCs w:val="0"/>
          <w:sz w:val="32"/>
          <w:szCs w:val="32"/>
        </w:rPr>
        <w:t xml:space="preserve">第三节 </w:t>
      </w:r>
      <w:r>
        <w:rPr>
          <w:rFonts w:hint="eastAsia" w:ascii="Calibri Light" w:hAnsi="Calibri Light" w:cs="Times New Roman"/>
          <w:b w:val="0"/>
          <w:bCs w:val="0"/>
          <w:sz w:val="32"/>
          <w:szCs w:val="32"/>
          <w:lang w:eastAsia="zh-CN"/>
        </w:rPr>
        <w:t>加强</w:t>
      </w:r>
      <w:r>
        <w:rPr>
          <w:rFonts w:hint="eastAsia" w:ascii="Calibri Light" w:hAnsi="Calibri Light" w:cs="Times New Roman"/>
          <w:b w:val="0"/>
          <w:bCs w:val="0"/>
          <w:sz w:val="32"/>
          <w:szCs w:val="32"/>
        </w:rPr>
        <w:t>农村牧区文化建设</w:t>
      </w:r>
      <w:bookmarkEnd w:id="445"/>
      <w:bookmarkEnd w:id="446"/>
      <w:bookmarkEnd w:id="479"/>
      <w:bookmarkEnd w:id="480"/>
      <w:bookmarkEnd w:id="481"/>
      <w:bookmarkEnd w:id="482"/>
      <w:bookmarkEnd w:id="483"/>
    </w:p>
    <w:p w14:paraId="4F40C2FD">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bookmarkStart w:id="484" w:name="_Toc58870141"/>
      <w:r>
        <w:rPr>
          <w:rFonts w:hint="eastAsia" w:ascii="仿宋" w:hAnsi="仿宋" w:eastAsia="仿宋" w:cs="仿宋"/>
          <w:b/>
          <w:bCs/>
          <w:sz w:val="32"/>
          <w:szCs w:val="32"/>
        </w:rPr>
        <w:t>铸牢中华民族共同体意识。</w:t>
      </w:r>
      <w:r>
        <w:rPr>
          <w:rFonts w:hint="eastAsia" w:ascii="仿宋" w:hAnsi="仿宋" w:eastAsia="仿宋" w:cs="仿宋"/>
          <w:color w:val="000000" w:themeColor="text1"/>
          <w:sz w:val="32"/>
          <w:szCs w:val="32"/>
        </w:rPr>
        <w:t>深入学习贯彻习近平总书记关于加强和改进民族工作的重要思想，扎实</w:t>
      </w:r>
      <w:r>
        <w:rPr>
          <w:rFonts w:hint="eastAsia" w:ascii="仿宋" w:hAnsi="仿宋" w:eastAsia="仿宋" w:cs="仿宋"/>
          <w:sz w:val="32"/>
          <w:szCs w:val="32"/>
        </w:rPr>
        <w:t>开展农村牧区民族团结进步教育创建活动，践行守望相助理念，强化国家意识、公民意识和法治意识。严格落实</w:t>
      </w:r>
      <w:r>
        <w:rPr>
          <w:rFonts w:hint="eastAsia" w:ascii="仿宋" w:hAnsi="仿宋" w:eastAsia="仿宋" w:cs="仿宋"/>
          <w:sz w:val="32"/>
          <w:szCs w:val="32"/>
          <w:lang w:eastAsia="zh-CN"/>
        </w:rPr>
        <w:t>基层党组织</w:t>
      </w:r>
      <w:r>
        <w:rPr>
          <w:rFonts w:hint="eastAsia" w:ascii="仿宋" w:hAnsi="仿宋" w:eastAsia="仿宋" w:cs="仿宋"/>
          <w:sz w:val="32"/>
          <w:szCs w:val="32"/>
        </w:rPr>
        <w:t>意识形态工作责任制，加强正面舆论引导，深化</w:t>
      </w:r>
      <w:r>
        <w:rPr>
          <w:rFonts w:hint="eastAsia" w:ascii="仿宋" w:hAnsi="仿宋" w:eastAsia="仿宋" w:cs="仿宋"/>
          <w:sz w:val="32"/>
          <w:szCs w:val="32"/>
          <w:lang w:eastAsia="zh-CN"/>
        </w:rPr>
        <w:t>铸牢</w:t>
      </w:r>
      <w:r>
        <w:rPr>
          <w:rFonts w:hint="eastAsia" w:ascii="仿宋" w:hAnsi="仿宋" w:eastAsia="仿宋" w:cs="仿宋"/>
          <w:sz w:val="32"/>
          <w:szCs w:val="32"/>
        </w:rPr>
        <w:t>中华民族共同体意识教育。加强农村牧区各类学校思想政治教育，坚决落实统编教材使用和国家通用语言文字教育教学。积极创建全国民族团结进步示范盟，着力构建“点线面”相结合的民族团结进步创建格局。依法治理民族事务，确保民族事务治理在法治轨道上运行。引导农牧民牢固树立公民意识，让各族人民不仅要意识到自己的民族身份、地域身份、群体身份，更要树立自己的中华民族成员身份、公民身份，把“三个离不开思想”、“五个认同”作为每个公民的第一位意识，</w:t>
      </w:r>
      <w:r>
        <w:rPr>
          <w:rFonts w:hint="eastAsia" w:ascii="仿宋" w:hAnsi="仿宋" w:eastAsia="仿宋" w:cs="仿宋"/>
          <w:color w:val="000000" w:themeColor="text1"/>
          <w:sz w:val="32"/>
          <w:szCs w:val="32"/>
        </w:rPr>
        <w:t>牢固树立休戚与共、荣辱与共、生死与共、命运与共的共同体理念。深入践行社会主义核心价值观，通过公益广告牌、宣传栏、文化</w:t>
      </w:r>
      <w:r>
        <w:rPr>
          <w:rFonts w:hint="eastAsia" w:ascii="仿宋" w:hAnsi="仿宋" w:eastAsia="仿宋" w:cs="仿宋"/>
          <w:sz w:val="32"/>
          <w:szCs w:val="32"/>
        </w:rPr>
        <w:t>墙等各类载体和文化阵地，营造良好社会氛围。</w:t>
      </w:r>
    </w:p>
    <w:bookmarkEnd w:id="484"/>
    <w:p w14:paraId="22F14B13">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sz w:val="32"/>
          <w:szCs w:val="32"/>
        </w:rPr>
        <w:t>深化农村牧区精神文明建设。</w:t>
      </w:r>
      <w:r>
        <w:rPr>
          <w:rFonts w:hint="eastAsia" w:ascii="仿宋" w:hAnsi="仿宋" w:eastAsia="仿宋" w:cs="仿宋"/>
          <w:b w:val="0"/>
          <w:bCs w:val="0"/>
          <w:sz w:val="32"/>
          <w:szCs w:val="32"/>
          <w:lang w:eastAsia="zh-CN"/>
        </w:rPr>
        <w:t>加强新时代文明实践中心（所、站）建设，</w:t>
      </w:r>
      <w:r>
        <w:rPr>
          <w:rFonts w:hint="eastAsia" w:ascii="仿宋" w:hAnsi="仿宋" w:eastAsia="仿宋" w:cs="仿宋"/>
          <w:sz w:val="32"/>
          <w:szCs w:val="32"/>
        </w:rPr>
        <w:t>深入实施</w:t>
      </w:r>
      <w:r>
        <w:rPr>
          <w:rFonts w:hint="eastAsia" w:ascii="仿宋" w:hAnsi="仿宋" w:eastAsia="仿宋" w:cs="仿宋"/>
          <w:sz w:val="32"/>
          <w:szCs w:val="32"/>
          <w:lang w:eastAsia="zh-CN"/>
        </w:rPr>
        <w:t>乡村文明</w:t>
      </w:r>
      <w:r>
        <w:rPr>
          <w:rFonts w:hint="eastAsia" w:ascii="仿宋" w:hAnsi="仿宋" w:eastAsia="仿宋" w:cs="仿宋"/>
          <w:sz w:val="32"/>
          <w:szCs w:val="32"/>
        </w:rPr>
        <w:t>提升行动。加大文明村镇创建力度，推动各级细化完善创建计划，充分发挥各级文明成员单位和文明单位帮扶作用，结对共建文明嘎查村。提升文明家庭创建水平，大力开展“诚信村”</w:t>
      </w:r>
      <w:r>
        <w:rPr>
          <w:rFonts w:hint="eastAsia" w:ascii="仿宋" w:hAnsi="仿宋" w:eastAsia="仿宋" w:cs="仿宋"/>
          <w:sz w:val="32"/>
          <w:szCs w:val="32"/>
          <w:lang w:eastAsia="zh-CN"/>
        </w:rPr>
        <w:t>、</w:t>
      </w:r>
      <w:r>
        <w:rPr>
          <w:rFonts w:hint="eastAsia" w:ascii="仿宋" w:hAnsi="仿宋" w:eastAsia="仿宋" w:cs="仿宋"/>
          <w:sz w:val="32"/>
          <w:szCs w:val="32"/>
        </w:rPr>
        <w:t>“诚信户”</w:t>
      </w:r>
      <w:r>
        <w:rPr>
          <w:rFonts w:hint="eastAsia" w:ascii="仿宋" w:hAnsi="仿宋" w:eastAsia="仿宋" w:cs="仿宋"/>
          <w:sz w:val="32"/>
          <w:szCs w:val="32"/>
          <w:lang w:eastAsia="zh-CN"/>
        </w:rPr>
        <w:t>、</w:t>
      </w:r>
      <w:r>
        <w:rPr>
          <w:rFonts w:hint="eastAsia" w:ascii="仿宋" w:hAnsi="仿宋" w:eastAsia="仿宋" w:cs="仿宋"/>
          <w:sz w:val="32"/>
          <w:szCs w:val="32"/>
        </w:rPr>
        <w:t>“十星家庭”</w:t>
      </w:r>
      <w:r>
        <w:rPr>
          <w:rFonts w:hint="eastAsia" w:ascii="仿宋" w:hAnsi="仿宋" w:eastAsia="仿宋" w:cs="仿宋"/>
          <w:sz w:val="32"/>
          <w:szCs w:val="32"/>
          <w:lang w:eastAsia="zh-CN"/>
        </w:rPr>
        <w:t>等</w:t>
      </w:r>
      <w:r>
        <w:rPr>
          <w:rFonts w:hint="eastAsia" w:ascii="仿宋" w:hAnsi="仿宋" w:eastAsia="仿宋" w:cs="仿宋"/>
          <w:sz w:val="32"/>
          <w:szCs w:val="32"/>
        </w:rPr>
        <w:t>评选表彰活动。推动旗县级公共图书馆、文化馆提档升级，重点加强</w:t>
      </w:r>
      <w:r>
        <w:rPr>
          <w:rFonts w:hint="eastAsia" w:ascii="仿宋" w:hAnsi="仿宋" w:eastAsia="仿宋" w:cs="仿宋"/>
          <w:sz w:val="32"/>
          <w:szCs w:val="32"/>
          <w:lang w:eastAsia="zh-CN"/>
        </w:rPr>
        <w:t>脱贫</w:t>
      </w:r>
      <w:r>
        <w:rPr>
          <w:rFonts w:hint="eastAsia" w:ascii="仿宋" w:hAnsi="仿宋" w:eastAsia="仿宋" w:cs="仿宋"/>
          <w:sz w:val="32"/>
          <w:szCs w:val="32"/>
        </w:rPr>
        <w:t>旗县嘎查村综合文化服务中心建设，抓好“农（牧）民书屋”建设。推进广电网络基本公共服务入户工程、“鸿雁</w:t>
      </w:r>
      <w:r>
        <w:rPr>
          <w:rFonts w:hint="eastAsia" w:ascii="仿宋" w:hAnsi="仿宋" w:eastAsia="仿宋" w:cs="仿宋"/>
          <w:sz w:val="32"/>
          <w:szCs w:val="32"/>
          <w:lang w:eastAsia="zh-CN"/>
        </w:rPr>
        <w:t>图书</w:t>
      </w:r>
      <w:r>
        <w:rPr>
          <w:rFonts w:hint="eastAsia" w:ascii="仿宋" w:hAnsi="仿宋" w:eastAsia="仿宋" w:cs="仿宋"/>
          <w:sz w:val="32"/>
          <w:szCs w:val="32"/>
        </w:rPr>
        <w:t>悦读”计划、广播影视固边工程、“数字文化走进蒙古包”工程建设。支持“三农三牧”题材文艺创作，鼓励文艺工作者深入农村牧区、贴近农牧民，推出具有农村牧区特色、深受农牧民欢迎的优秀文化作品和文化产品。</w:t>
      </w:r>
      <w:r>
        <w:rPr>
          <w:rFonts w:hint="eastAsia" w:ascii="仿宋" w:hAnsi="仿宋" w:eastAsia="仿宋" w:cs="仿宋"/>
          <w:color w:val="000000" w:themeColor="text1"/>
          <w:sz w:val="32"/>
          <w:szCs w:val="32"/>
        </w:rPr>
        <w:t>鼓励有条件的嘎查村建立文化活动队伍，开展群众性文艺活动。</w:t>
      </w:r>
      <w:r>
        <w:rPr>
          <w:rFonts w:hint="eastAsia" w:ascii="仿宋" w:hAnsi="仿宋" w:eastAsia="仿宋" w:cs="仿宋"/>
          <w:color w:val="000000" w:themeColor="text1"/>
          <w:sz w:val="32"/>
          <w:szCs w:val="32"/>
          <w:lang w:eastAsia="zh-CN"/>
        </w:rPr>
        <w:t>支持</w:t>
      </w:r>
      <w:r>
        <w:rPr>
          <w:rFonts w:hint="eastAsia" w:ascii="仿宋" w:hAnsi="仿宋" w:eastAsia="仿宋" w:cs="仿宋"/>
          <w:color w:val="000000" w:themeColor="text1"/>
          <w:sz w:val="32"/>
          <w:szCs w:val="32"/>
        </w:rPr>
        <w:t>建立文化大院、文化户及各类文化协会，加强业余文艺创作，扩大农牧民文化活动参与面。</w:t>
      </w:r>
    </w:p>
    <w:p w14:paraId="01F60C47">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传承农村牧区优秀传统文化。</w:t>
      </w:r>
      <w:r>
        <w:rPr>
          <w:rFonts w:hint="eastAsia" w:ascii="仿宋" w:hAnsi="仿宋" w:eastAsia="仿宋" w:cs="仿宋"/>
          <w:color w:val="000000" w:themeColor="text1"/>
          <w:sz w:val="32"/>
          <w:szCs w:val="32"/>
        </w:rPr>
        <w:t>大力开展农牧业文化遗产展览展示，加大农牧业文化遗产宣传推介力度。</w:t>
      </w:r>
      <w:r>
        <w:rPr>
          <w:rFonts w:hint="eastAsia" w:ascii="仿宋" w:hAnsi="仿宋" w:eastAsia="仿宋" w:cs="仿宋"/>
          <w:sz w:val="32"/>
          <w:szCs w:val="32"/>
        </w:rPr>
        <w:t>健全</w:t>
      </w:r>
      <w:r>
        <w:rPr>
          <w:rFonts w:hint="eastAsia" w:ascii="仿宋" w:hAnsi="仿宋" w:eastAsia="仿宋" w:cs="仿宋"/>
          <w:sz w:val="32"/>
          <w:szCs w:val="32"/>
          <w:lang w:eastAsia="zh-CN"/>
        </w:rPr>
        <w:t>中华</w:t>
      </w:r>
      <w:r>
        <w:rPr>
          <w:rFonts w:hint="eastAsia" w:ascii="仿宋" w:hAnsi="仿宋" w:eastAsia="仿宋" w:cs="仿宋"/>
          <w:sz w:val="32"/>
          <w:szCs w:val="32"/>
        </w:rPr>
        <w:t>优秀传统文化传承体系，</w:t>
      </w:r>
      <w:r>
        <w:rPr>
          <w:rFonts w:hint="eastAsia" w:ascii="仿宋" w:hAnsi="仿宋" w:eastAsia="仿宋" w:cs="仿宋"/>
          <w:sz w:val="32"/>
          <w:szCs w:val="32"/>
          <w:lang w:eastAsia="zh-CN"/>
        </w:rPr>
        <w:t>加强</w:t>
      </w:r>
      <w:r>
        <w:rPr>
          <w:rFonts w:hint="eastAsia" w:ascii="仿宋" w:hAnsi="仿宋" w:eastAsia="仿宋" w:cs="仿宋"/>
          <w:sz w:val="32"/>
          <w:szCs w:val="32"/>
        </w:rPr>
        <w:t>长调、呼麦、潮尔道、蒙古剧等民族优秀文化的研究、保护、传承、创作工作，抓好民族手工艺、民族服饰、民俗活动等非物质文化遗产的抢救、保护、传承，建立健全非遗传承人保护和管理机制。</w:t>
      </w:r>
      <w:r>
        <w:rPr>
          <w:rFonts w:hint="eastAsia" w:ascii="仿宋" w:hAnsi="仿宋" w:eastAsia="仿宋" w:cs="仿宋"/>
          <w:color w:val="000000" w:themeColor="text1"/>
          <w:sz w:val="32"/>
          <w:szCs w:val="32"/>
        </w:rPr>
        <w:t>集成弘扬革命红色文化，加强爱国主义教育示范基地建设、管理、使用工作，加大红色文化遗址、遗迹、重点文物保护单位修缮保护力度。繁荣发展乡村文化产业，实施“民间文化艺术之乡”建设工程。积极实施传统工艺振兴计划，着力培育优秀传统工艺品牌。加强非物质文化遗产传承保护，做好“文化和自然遗产日”组织宣传。</w:t>
      </w:r>
      <w:r>
        <w:rPr>
          <w:rFonts w:hint="eastAsia" w:ascii="仿宋" w:hAnsi="仿宋" w:eastAsia="仿宋" w:cs="仿宋"/>
          <w:sz w:val="32"/>
          <w:szCs w:val="32"/>
        </w:rPr>
        <w:t>培养乡土文化名人、民族民间文化传承人。</w:t>
      </w:r>
    </w:p>
    <w:p w14:paraId="13DAB8CF">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theme="minorBidi"/>
          <w:sz w:val="32"/>
          <w:szCs w:val="32"/>
        </w:rPr>
      </w:pPr>
      <w:r>
        <w:rPr>
          <w:rFonts w:hint="eastAsia" w:ascii="仿宋" w:hAnsi="仿宋" w:eastAsia="仿宋" w:cs="仿宋"/>
          <w:b/>
          <w:bCs/>
          <w:sz w:val="32"/>
          <w:szCs w:val="32"/>
        </w:rPr>
        <w:t>弘扬乌兰牧骑精神。</w:t>
      </w:r>
      <w:r>
        <w:rPr>
          <w:rFonts w:hint="eastAsia" w:ascii="仿宋" w:hAnsi="仿宋" w:eastAsia="仿宋" w:cs="仿宋"/>
          <w:sz w:val="32"/>
          <w:szCs w:val="32"/>
        </w:rPr>
        <w:t>提高乌兰</w:t>
      </w:r>
      <w:r>
        <w:rPr>
          <w:rFonts w:hint="eastAsia" w:ascii="仿宋" w:hAnsi="仿宋" w:eastAsia="仿宋" w:cstheme="minorBidi"/>
          <w:sz w:val="32"/>
          <w:szCs w:val="32"/>
        </w:rPr>
        <w:t>牧骑创作水平，推出具有鲜明时代特征、易于传播、短小灵活、适合基层演出的优秀文艺剧（节）目。突出乌兰牧骑自身创作，鼓励乌兰牧骑出精品、出人才、推出自编自导的原创作品。探索乌兰牧骑精神传播新途径，健全线上乌兰牧骑平台建设，将网络乌兰牧骑纳入“锡林郭勒盟大数据文化资源库”建设，打造数字化的“红色文艺轻骑兵”。扎实开展乌兰牧骑惠民演出活动，创新宣传党的路线方针政策和国家法律法规，创作接地气、反映百姓身边人和事的“微作品”，开展多种形式文艺宣传。辅导群众业余文艺演出和创作活动，以“乌兰牧骑+”的方式带动全盟基层综合志愿服务工作。</w:t>
      </w:r>
      <w:bookmarkStart w:id="485" w:name="_Toc840741532_WPSOffice_Level2"/>
      <w:bookmarkStart w:id="486" w:name="_Toc58870147"/>
      <w:bookmarkStart w:id="487" w:name="_Toc57041416"/>
      <w:bookmarkStart w:id="488" w:name="_Toc24190"/>
      <w:bookmarkStart w:id="489" w:name="_Toc59000539"/>
      <w:bookmarkStart w:id="490" w:name="_Toc28481"/>
      <w:bookmarkStart w:id="491" w:name="_Toc16845"/>
      <w:bookmarkStart w:id="492" w:name="_Toc19017"/>
      <w:bookmarkStart w:id="493" w:name="_Toc15847"/>
      <w:bookmarkStart w:id="494" w:name="_Toc12973"/>
    </w:p>
    <w:p w14:paraId="722056E7">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第四节 完善农村牧区治理体系</w:t>
      </w:r>
    </w:p>
    <w:bookmarkEnd w:id="485"/>
    <w:bookmarkEnd w:id="486"/>
    <w:bookmarkEnd w:id="487"/>
    <w:bookmarkEnd w:id="488"/>
    <w:bookmarkEnd w:id="489"/>
    <w:bookmarkEnd w:id="490"/>
    <w:bookmarkEnd w:id="491"/>
    <w:bookmarkEnd w:id="492"/>
    <w:bookmarkEnd w:id="493"/>
    <w:bookmarkEnd w:id="494"/>
    <w:p w14:paraId="4D2F36EB">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加强基层党组织建设。</w:t>
      </w:r>
      <w:r>
        <w:rPr>
          <w:rFonts w:hint="eastAsia" w:ascii="仿宋" w:hAnsi="仿宋" w:eastAsia="仿宋" w:cs="仿宋"/>
          <w:sz w:val="32"/>
          <w:szCs w:val="32"/>
        </w:rPr>
        <w:t>健全以党组织为核心的组织体系</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深入实施“北疆先锋”工程，选优配强带头人</w:t>
      </w:r>
      <w:r>
        <w:rPr>
          <w:rFonts w:hint="eastAsia" w:ascii="仿宋" w:hAnsi="仿宋" w:eastAsia="仿宋" w:cs="仿宋"/>
          <w:color w:val="000000" w:themeColor="text1"/>
          <w:sz w:val="32"/>
          <w:szCs w:val="32"/>
          <w:lang w:eastAsia="zh-CN"/>
        </w:rPr>
        <w:t>队伍</w:t>
      </w:r>
      <w:r>
        <w:rPr>
          <w:rFonts w:hint="eastAsia" w:ascii="仿宋" w:hAnsi="仿宋" w:eastAsia="仿宋" w:cs="仿宋"/>
          <w:color w:val="000000" w:themeColor="text1"/>
          <w:sz w:val="32"/>
          <w:szCs w:val="32"/>
        </w:rPr>
        <w:t>。深入实施“抓乡促村带户”整体提升工程，</w:t>
      </w:r>
      <w:r>
        <w:rPr>
          <w:rFonts w:hint="eastAsia" w:ascii="仿宋" w:hAnsi="仿宋" w:eastAsia="仿宋" w:cs="仿宋"/>
          <w:color w:val="000000" w:themeColor="text1"/>
          <w:sz w:val="32"/>
          <w:szCs w:val="32"/>
          <w:lang w:eastAsia="zh-CN"/>
        </w:rPr>
        <w:t>开展</w:t>
      </w:r>
      <w:r>
        <w:rPr>
          <w:rFonts w:hint="eastAsia" w:ascii="仿宋" w:hAnsi="仿宋" w:eastAsia="仿宋" w:cs="仿宋"/>
          <w:color w:val="000000" w:themeColor="text1"/>
          <w:sz w:val="32"/>
          <w:szCs w:val="32"/>
        </w:rPr>
        <w:t>嘎查村党组书记乡村振兴“擂台比武”活动，启动实施“千名干部下基层、助力乡村振兴”行动，</w:t>
      </w:r>
      <w:r>
        <w:rPr>
          <w:rFonts w:hint="eastAsia" w:ascii="仿宋" w:hAnsi="仿宋" w:eastAsia="仿宋" w:cs="仿宋"/>
          <w:color w:val="000000" w:themeColor="text1"/>
          <w:sz w:val="32"/>
          <w:szCs w:val="32"/>
          <w:lang w:eastAsia="zh-CN"/>
        </w:rPr>
        <w:t>为全面推动乡村振兴提供干部人才支持和保证</w:t>
      </w:r>
      <w:r>
        <w:rPr>
          <w:rFonts w:hint="eastAsia" w:ascii="仿宋" w:hAnsi="仿宋" w:eastAsia="仿宋" w:cs="仿宋"/>
          <w:color w:val="000000" w:themeColor="text1"/>
          <w:sz w:val="32"/>
          <w:szCs w:val="32"/>
        </w:rPr>
        <w:t>。推进嘎查村党组织书记通过法定程序兼任</w:t>
      </w:r>
      <w:r>
        <w:rPr>
          <w:rFonts w:hint="eastAsia" w:ascii="仿宋" w:hAnsi="仿宋" w:eastAsia="仿宋" w:cs="仿宋"/>
          <w:sz w:val="32"/>
          <w:szCs w:val="32"/>
        </w:rPr>
        <w:t>集体经济组织和农牧民合作社负责人</w:t>
      </w:r>
      <w:r>
        <w:rPr>
          <w:rFonts w:hint="eastAsia" w:ascii="仿宋" w:hAnsi="仿宋" w:eastAsia="仿宋" w:cs="仿宋"/>
          <w:sz w:val="32"/>
          <w:szCs w:val="32"/>
          <w:lang w:eastAsia="zh-CN"/>
        </w:rPr>
        <w:t>工作</w:t>
      </w:r>
      <w:r>
        <w:rPr>
          <w:rFonts w:hint="eastAsia" w:ascii="仿宋" w:hAnsi="仿宋" w:eastAsia="仿宋" w:cs="仿宋"/>
          <w:sz w:val="32"/>
          <w:szCs w:val="32"/>
        </w:rPr>
        <w:t>，推动嘎查村“两委”班子成员交叉任职。重视发现和树立优秀农村牧区基层干部典型，大力表彰和宣扬。优先在优秀青年农牧民中发展党员，加强农村牧区党员教育管理、监督，推进“两学一做”学习教育常态化制度化，抓好党史学习教育。全面落实“三会一课”、谈心谈话、主题党日、民主评议党员、党员联系农牧户等制度。以推进北疆基层党建长廊建设为抓手，突出抓好边境</w:t>
      </w:r>
      <w:r>
        <w:rPr>
          <w:rFonts w:hint="eastAsia" w:ascii="仿宋" w:hAnsi="仿宋" w:eastAsia="仿宋" w:cs="仿宋"/>
          <w:sz w:val="32"/>
          <w:szCs w:val="32"/>
          <w:lang w:eastAsia="zh-CN"/>
        </w:rPr>
        <w:t>地区</w:t>
      </w:r>
      <w:r>
        <w:rPr>
          <w:rFonts w:hint="eastAsia" w:ascii="仿宋" w:hAnsi="仿宋" w:eastAsia="仿宋" w:cs="仿宋"/>
          <w:sz w:val="32"/>
          <w:szCs w:val="32"/>
        </w:rPr>
        <w:t>党建工作，打造一批维护民族团结、促进社会和谐稳定、推动经济发展的示范苏木镇、嘎查村。全面落实以财政投入为主的稳定的嘎查村级组织运转经费保障政策。</w:t>
      </w:r>
    </w:p>
    <w:p w14:paraId="2B88EB82">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深化嘎查村自治实践。</w:t>
      </w:r>
      <w:r>
        <w:rPr>
          <w:rFonts w:hint="eastAsia" w:ascii="仿宋" w:hAnsi="仿宋" w:eastAsia="仿宋" w:cs="仿宋"/>
          <w:sz w:val="32"/>
          <w:szCs w:val="32"/>
        </w:rPr>
        <w:t>健全党组织领导的嘎查村民自治机制，积极推广“四议两公开”“契约化管理”等措施，完善嘎查村重大问题民主决策、民主监督制度。严格管理</w:t>
      </w:r>
      <w:r>
        <w:rPr>
          <w:rFonts w:hint="eastAsia" w:ascii="仿宋" w:hAnsi="仿宋" w:eastAsia="仿宋" w:cs="仿宋"/>
          <w:sz w:val="32"/>
          <w:szCs w:val="32"/>
          <w:lang w:eastAsia="zh-CN"/>
        </w:rPr>
        <w:t>嘎查</w:t>
      </w:r>
      <w:r>
        <w:rPr>
          <w:rFonts w:hint="eastAsia" w:ascii="仿宋" w:hAnsi="仿宋" w:eastAsia="仿宋" w:cs="仿宋"/>
          <w:sz w:val="32"/>
          <w:szCs w:val="32"/>
        </w:rPr>
        <w:t>村级组织承担的工作任务，实行总量控制、目录清单、审核备案管理。健全嘎查村委员会和村民小组的民主议事协商制度，鼓励农村牧区开展村民说事、民情恳谈、协商对话等各类协商活动，及时反映和处置群众诉求、维护群众合法权益。完善党务、村务、财务“三公开”制度，接受群众监督。</w:t>
      </w:r>
    </w:p>
    <w:p w14:paraId="1EAE5567">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推进农村牧区法治建设。</w:t>
      </w:r>
      <w:r>
        <w:rPr>
          <w:rFonts w:hint="eastAsia" w:ascii="仿宋" w:hAnsi="仿宋" w:eastAsia="仿宋" w:cs="仿宋"/>
          <w:sz w:val="32"/>
          <w:szCs w:val="32"/>
        </w:rPr>
        <w:t>深入开展农村牧区法治宣传教育，组织实施“八五”普法规划，开展“法律进农村牧区”活动，深化“民主法治示范村”创建活动，建设法治宣传阵地，推进农村牧区综合行政执法改革。</w:t>
      </w:r>
      <w:r>
        <w:rPr>
          <w:rFonts w:hint="eastAsia" w:ascii="仿宋" w:hAnsi="仿宋" w:eastAsia="仿宋" w:cs="仿宋"/>
          <w:sz w:val="32"/>
          <w:szCs w:val="32"/>
          <w:lang w:eastAsia="zh-CN"/>
        </w:rPr>
        <w:t>统筹整合派出所、司法所、人民法庭等基层社会治理资源力量，发挥网格员、治安员、</w:t>
      </w:r>
      <w:r>
        <w:rPr>
          <w:rFonts w:hint="eastAsia" w:ascii="仿宋" w:hAnsi="仿宋" w:eastAsia="仿宋" w:cs="仿宋"/>
          <w:sz w:val="32"/>
          <w:szCs w:val="32"/>
        </w:rPr>
        <w:t>草原“110”</w:t>
      </w:r>
      <w:r>
        <w:rPr>
          <w:rFonts w:hint="eastAsia" w:ascii="仿宋" w:hAnsi="仿宋" w:eastAsia="仿宋" w:cs="仿宋"/>
          <w:sz w:val="32"/>
          <w:szCs w:val="32"/>
          <w:lang w:eastAsia="zh-CN"/>
        </w:rPr>
        <w:t>等</w:t>
      </w:r>
      <w:r>
        <w:rPr>
          <w:rFonts w:hint="eastAsia" w:ascii="仿宋" w:hAnsi="仿宋" w:eastAsia="仿宋" w:cs="仿宋"/>
          <w:sz w:val="32"/>
          <w:szCs w:val="32"/>
        </w:rPr>
        <w:t>群</w:t>
      </w:r>
      <w:r>
        <w:rPr>
          <w:rFonts w:hint="eastAsia" w:ascii="仿宋" w:hAnsi="仿宋" w:eastAsia="仿宋" w:cs="仿宋"/>
          <w:sz w:val="32"/>
          <w:szCs w:val="32"/>
          <w:lang w:eastAsia="zh-CN"/>
        </w:rPr>
        <w:t>防</w:t>
      </w:r>
      <w:r>
        <w:rPr>
          <w:rFonts w:hint="eastAsia" w:ascii="仿宋" w:hAnsi="仿宋" w:eastAsia="仿宋" w:cs="仿宋"/>
          <w:sz w:val="32"/>
          <w:szCs w:val="32"/>
        </w:rPr>
        <w:t>群治</w:t>
      </w:r>
      <w:r>
        <w:rPr>
          <w:rFonts w:hint="eastAsia" w:ascii="仿宋" w:hAnsi="仿宋" w:eastAsia="仿宋" w:cs="仿宋"/>
          <w:sz w:val="32"/>
          <w:szCs w:val="32"/>
          <w:lang w:eastAsia="zh-CN"/>
        </w:rPr>
        <w:t>作用，</w:t>
      </w:r>
      <w:r>
        <w:rPr>
          <w:rFonts w:hint="eastAsia" w:ascii="仿宋" w:hAnsi="仿宋" w:eastAsia="仿宋" w:cs="仿宋"/>
          <w:sz w:val="32"/>
          <w:szCs w:val="32"/>
        </w:rPr>
        <w:t>夯实以基层综合服务管理为依托的综治工作阵地。</w:t>
      </w:r>
      <w:r>
        <w:rPr>
          <w:rFonts w:hint="eastAsia" w:ascii="仿宋" w:hAnsi="仿宋" w:eastAsia="仿宋" w:cs="仿宋"/>
          <w:color w:val="000000" w:themeColor="text1"/>
          <w:sz w:val="32"/>
          <w:szCs w:val="32"/>
          <w:lang w:eastAsia="zh-CN"/>
        </w:rPr>
        <w:t>开展农村牧区家庭普法实践活动，培育农村牧区学法用法示范户，力争实现每个行政嘎查村至少有一户示范户</w:t>
      </w:r>
      <w:r>
        <w:rPr>
          <w:rFonts w:hint="eastAsia" w:ascii="仿宋" w:hAnsi="仿宋" w:eastAsia="仿宋" w:cs="仿宋"/>
          <w:sz w:val="32"/>
          <w:szCs w:val="32"/>
        </w:rPr>
        <w:t>。健全农村牧区公共安全体系，强化安全生产、防灾减灾救灾、食品、药品、交通、消防等管理责任。坚持和发展好“枫桥经验”，健全</w:t>
      </w:r>
      <w:r>
        <w:rPr>
          <w:rFonts w:hint="eastAsia" w:ascii="仿宋" w:hAnsi="仿宋" w:eastAsia="仿宋" w:cs="仿宋"/>
          <w:sz w:val="32"/>
          <w:szCs w:val="32"/>
          <w:lang w:eastAsia="zh-CN"/>
        </w:rPr>
        <w:t>农</w:t>
      </w:r>
      <w:r>
        <w:rPr>
          <w:rFonts w:hint="eastAsia" w:ascii="仿宋" w:hAnsi="仿宋" w:eastAsia="仿宋" w:cs="仿宋"/>
          <w:sz w:val="32"/>
          <w:szCs w:val="32"/>
        </w:rPr>
        <w:t>村</w:t>
      </w:r>
      <w:r>
        <w:rPr>
          <w:rFonts w:hint="eastAsia" w:ascii="仿宋" w:hAnsi="仿宋" w:eastAsia="仿宋" w:cs="仿宋"/>
          <w:sz w:val="32"/>
          <w:szCs w:val="32"/>
          <w:lang w:eastAsia="zh-CN"/>
        </w:rPr>
        <w:t>牧区</w:t>
      </w:r>
      <w:r>
        <w:rPr>
          <w:rFonts w:hint="eastAsia" w:ascii="仿宋" w:hAnsi="仿宋" w:eastAsia="仿宋" w:cs="仿宋"/>
          <w:sz w:val="32"/>
          <w:szCs w:val="32"/>
        </w:rPr>
        <w:t>矛盾纠纷化解机制。大力开展嘎查村微腐败整治，严肃查处侵害农牧民利益的行为。</w:t>
      </w:r>
    </w:p>
    <w:p w14:paraId="6AD95804">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提升农村牧区德治水平。</w:t>
      </w:r>
      <w:r>
        <w:rPr>
          <w:rFonts w:hint="eastAsia" w:ascii="仿宋" w:hAnsi="仿宋" w:eastAsia="仿宋" w:cs="仿宋"/>
          <w:color w:val="000000" w:themeColor="text1"/>
          <w:sz w:val="32"/>
          <w:szCs w:val="32"/>
          <w:lang w:eastAsia="zh-CN"/>
        </w:rPr>
        <w:t>推进实施社会主义</w:t>
      </w:r>
      <w:r>
        <w:rPr>
          <w:rFonts w:hint="eastAsia" w:ascii="仿宋" w:hAnsi="仿宋" w:eastAsia="仿宋" w:cs="仿宋"/>
          <w:color w:val="000000" w:themeColor="text1"/>
          <w:sz w:val="32"/>
          <w:szCs w:val="32"/>
        </w:rPr>
        <w:t>核心价值观“一进村、四入户、一争创”活动，</w:t>
      </w:r>
      <w:r>
        <w:rPr>
          <w:rFonts w:hint="eastAsia" w:ascii="仿宋" w:hAnsi="仿宋" w:eastAsia="仿宋" w:cs="仿宋"/>
          <w:color w:val="000000" w:themeColor="text1"/>
          <w:sz w:val="32"/>
          <w:szCs w:val="32"/>
          <w:lang w:eastAsia="zh-CN"/>
        </w:rPr>
        <w:t>积极</w:t>
      </w:r>
      <w:r>
        <w:rPr>
          <w:rFonts w:hint="eastAsia" w:ascii="仿宋" w:hAnsi="仿宋" w:eastAsia="仿宋" w:cs="仿宋"/>
          <w:color w:val="000000" w:themeColor="text1"/>
          <w:sz w:val="32"/>
          <w:szCs w:val="32"/>
        </w:rPr>
        <w:t>选树践行社会主义核心价值观先进典型。</w:t>
      </w:r>
      <w:r>
        <w:rPr>
          <w:rFonts w:hint="eastAsia" w:ascii="仿宋" w:hAnsi="仿宋" w:eastAsia="仿宋" w:cs="仿宋"/>
          <w:b w:val="0"/>
          <w:bCs w:val="0"/>
          <w:sz w:val="32"/>
          <w:szCs w:val="32"/>
        </w:rPr>
        <w:t>深入挖掘和</w:t>
      </w:r>
      <w:r>
        <w:rPr>
          <w:rFonts w:hint="eastAsia" w:ascii="仿宋" w:hAnsi="仿宋" w:eastAsia="仿宋" w:cs="仿宋"/>
          <w:b w:val="0"/>
          <w:bCs w:val="0"/>
          <w:sz w:val="32"/>
          <w:szCs w:val="32"/>
          <w:lang w:eastAsia="zh-CN"/>
        </w:rPr>
        <w:t>发挥</w:t>
      </w:r>
      <w:r>
        <w:rPr>
          <w:rFonts w:hint="eastAsia" w:ascii="仿宋" w:hAnsi="仿宋" w:eastAsia="仿宋" w:cs="仿宋"/>
          <w:b w:val="0"/>
          <w:bCs w:val="0"/>
          <w:sz w:val="32"/>
          <w:szCs w:val="32"/>
        </w:rPr>
        <w:t>中华优秀传统文化讲仁爱、重民本、守诚信、崇正义、尚和合、求大同的时代价值</w:t>
      </w:r>
      <w:r>
        <w:rPr>
          <w:rFonts w:hint="eastAsia" w:ascii="仿宋" w:hAnsi="仿宋" w:eastAsia="仿宋" w:cs="仿宋"/>
          <w:b w:val="0"/>
          <w:bCs w:val="0"/>
          <w:sz w:val="32"/>
          <w:szCs w:val="32"/>
          <w:lang w:eastAsia="zh-CN"/>
        </w:rPr>
        <w:t>作用</w:t>
      </w:r>
      <w:r>
        <w:rPr>
          <w:rFonts w:hint="eastAsia" w:ascii="仿宋" w:hAnsi="仿宋" w:eastAsia="仿宋" w:cs="仿宋"/>
          <w:b w:val="0"/>
          <w:bCs w:val="0"/>
          <w:sz w:val="32"/>
          <w:szCs w:val="32"/>
        </w:rPr>
        <w:t>，</w:t>
      </w:r>
      <w:r>
        <w:rPr>
          <w:rFonts w:hint="eastAsia" w:ascii="仿宋" w:hAnsi="仿宋" w:eastAsia="仿宋" w:cs="仿宋"/>
          <w:sz w:val="32"/>
          <w:szCs w:val="32"/>
          <w:lang w:eastAsia="zh-CN"/>
        </w:rPr>
        <w:t>广泛组织</w:t>
      </w:r>
      <w:r>
        <w:rPr>
          <w:rFonts w:hint="eastAsia" w:ascii="仿宋" w:hAnsi="仿宋" w:eastAsia="仿宋" w:cs="仿宋"/>
          <w:sz w:val="32"/>
          <w:szCs w:val="32"/>
        </w:rPr>
        <w:t>开展优秀传统文化传播</w:t>
      </w:r>
      <w:r>
        <w:rPr>
          <w:rFonts w:hint="eastAsia" w:ascii="仿宋" w:hAnsi="仿宋" w:eastAsia="仿宋" w:cs="仿宋"/>
          <w:sz w:val="32"/>
          <w:szCs w:val="32"/>
          <w:lang w:eastAsia="zh-CN"/>
        </w:rPr>
        <w:t>、</w:t>
      </w:r>
      <w:r>
        <w:rPr>
          <w:rFonts w:hint="eastAsia" w:ascii="仿宋" w:hAnsi="仿宋" w:eastAsia="仿宋" w:cs="仿宋"/>
          <w:sz w:val="32"/>
          <w:szCs w:val="32"/>
        </w:rPr>
        <w:t>立家训家规、传家风家教</w:t>
      </w:r>
      <w:r>
        <w:rPr>
          <w:rFonts w:hint="eastAsia" w:ascii="仿宋" w:hAnsi="仿宋" w:eastAsia="仿宋" w:cs="仿宋"/>
          <w:sz w:val="32"/>
          <w:szCs w:val="32"/>
          <w:lang w:eastAsia="zh-CN"/>
        </w:rPr>
        <w:t>、</w:t>
      </w:r>
      <w:r>
        <w:rPr>
          <w:rFonts w:hint="eastAsia" w:ascii="仿宋" w:hAnsi="仿宋" w:eastAsia="仿宋" w:cs="仿宋"/>
          <w:sz w:val="32"/>
          <w:szCs w:val="32"/>
        </w:rPr>
        <w:t>倡文明树新风</w:t>
      </w:r>
      <w:r>
        <w:rPr>
          <w:rFonts w:hint="eastAsia" w:ascii="仿宋" w:hAnsi="仿宋" w:eastAsia="仿宋" w:cs="仿宋"/>
          <w:sz w:val="32"/>
          <w:szCs w:val="32"/>
          <w:lang w:eastAsia="zh-CN"/>
        </w:rPr>
        <w:t>和</w:t>
      </w:r>
      <w:r>
        <w:rPr>
          <w:rFonts w:hint="eastAsia" w:ascii="仿宋" w:hAnsi="仿宋" w:eastAsia="仿宋" w:cs="仿宋"/>
          <w:sz w:val="32"/>
          <w:szCs w:val="32"/>
        </w:rPr>
        <w:t>革除陈规陋习等活动。</w:t>
      </w:r>
      <w:r>
        <w:rPr>
          <w:rFonts w:hint="eastAsia" w:ascii="仿宋" w:hAnsi="仿宋" w:eastAsia="仿宋" w:cs="仿宋"/>
          <w:sz w:val="32"/>
          <w:szCs w:val="32"/>
          <w:lang w:eastAsia="zh-CN"/>
        </w:rPr>
        <w:t>加强</w:t>
      </w:r>
      <w:r>
        <w:rPr>
          <w:rFonts w:hint="eastAsia" w:ascii="仿宋" w:hAnsi="仿宋" w:eastAsia="仿宋" w:cs="仿宋"/>
          <w:sz w:val="32"/>
          <w:szCs w:val="32"/>
        </w:rPr>
        <w:t>新时代文明实践中心建设，推动文明村镇创建。</w:t>
      </w:r>
      <w:r>
        <w:rPr>
          <w:rFonts w:hint="eastAsia" w:ascii="仿宋" w:hAnsi="仿宋" w:eastAsia="仿宋" w:cs="仿宋"/>
          <w:color w:val="000000" w:themeColor="text1"/>
          <w:sz w:val="32"/>
          <w:szCs w:val="32"/>
        </w:rPr>
        <w:t>推广“一约四会”建设和“积分制”方式</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建立道德激励约束机制，引导农牧民自我管理、自我教育、自我提高，实现家庭和睦、邻里和谐、干群融洽。</w:t>
      </w:r>
    </w:p>
    <w:p w14:paraId="34ED9285">
      <w:pPr>
        <w:pageBreakBefore w:val="0"/>
        <w:widowControl w:val="0"/>
        <w:kinsoku/>
        <w:wordWrap/>
        <w:overflowPunct/>
        <w:topLinePunct w:val="0"/>
        <w:autoSpaceDE/>
        <w:autoSpaceDN/>
        <w:bidi w:val="0"/>
        <w:adjustRightInd/>
        <w:snapToGrid/>
        <w:spacing w:after="156" w:afterLines="50" w:line="600" w:lineRule="exact"/>
        <w:ind w:firstLine="643" w:firstLineChars="200"/>
        <w:textAlignment w:val="auto"/>
        <w:rPr>
          <w:sz w:val="32"/>
          <w:szCs w:val="32"/>
        </w:rPr>
      </w:pPr>
      <w:r>
        <w:rPr>
          <w:rFonts w:hint="eastAsia" w:ascii="仿宋" w:hAnsi="仿宋" w:eastAsia="仿宋" w:cs="仿宋"/>
          <w:b/>
          <w:bCs/>
          <w:sz w:val="32"/>
          <w:szCs w:val="32"/>
        </w:rPr>
        <w:t>落实“县乡村”三级联动机制。</w:t>
      </w:r>
      <w:r>
        <w:rPr>
          <w:rFonts w:hint="eastAsia" w:ascii="仿宋" w:hAnsi="仿宋" w:eastAsia="仿宋" w:cs="仿宋"/>
          <w:sz w:val="32"/>
          <w:szCs w:val="32"/>
          <w:lang w:eastAsia="zh-CN"/>
        </w:rPr>
        <w:t>发挥</w:t>
      </w:r>
      <w:r>
        <w:rPr>
          <w:rFonts w:hint="eastAsia" w:ascii="仿宋" w:hAnsi="仿宋" w:eastAsia="仿宋" w:cstheme="minorBidi"/>
          <w:sz w:val="32"/>
          <w:szCs w:val="32"/>
        </w:rPr>
        <w:t>旗县“一级指挥部”</w:t>
      </w:r>
      <w:r>
        <w:rPr>
          <w:rFonts w:hint="eastAsia" w:ascii="仿宋" w:hAnsi="仿宋" w:eastAsia="仿宋" w:cstheme="minorBidi"/>
          <w:sz w:val="32"/>
          <w:szCs w:val="32"/>
          <w:lang w:eastAsia="zh-CN"/>
        </w:rPr>
        <w:t>作用</w:t>
      </w:r>
      <w:r>
        <w:rPr>
          <w:rFonts w:hint="eastAsia" w:ascii="仿宋" w:hAnsi="仿宋" w:eastAsia="仿宋" w:cstheme="minorBidi"/>
          <w:sz w:val="32"/>
          <w:szCs w:val="32"/>
        </w:rPr>
        <w:t>，加强统筹谋划</w:t>
      </w:r>
      <w:r>
        <w:rPr>
          <w:rFonts w:hint="eastAsia" w:ascii="仿宋" w:hAnsi="仿宋" w:eastAsia="仿宋" w:cstheme="minorBidi"/>
          <w:sz w:val="32"/>
          <w:szCs w:val="32"/>
          <w:lang w:eastAsia="zh-CN"/>
        </w:rPr>
        <w:t>，</w:t>
      </w:r>
      <w:r>
        <w:rPr>
          <w:rFonts w:hint="eastAsia" w:ascii="仿宋" w:hAnsi="仿宋" w:eastAsia="仿宋" w:cstheme="minorBidi"/>
          <w:sz w:val="32"/>
          <w:szCs w:val="32"/>
        </w:rPr>
        <w:t>落实领导责任，树立大抓基层的工作导向，增强群众工作本领。</w:t>
      </w:r>
      <w:r>
        <w:rPr>
          <w:rFonts w:hint="eastAsia" w:ascii="仿宋" w:hAnsi="仿宋" w:eastAsia="仿宋" w:cstheme="minorBidi"/>
          <w:sz w:val="32"/>
          <w:szCs w:val="32"/>
          <w:lang w:eastAsia="zh-CN"/>
        </w:rPr>
        <w:t>发挥</w:t>
      </w:r>
      <w:r>
        <w:rPr>
          <w:rFonts w:hint="eastAsia" w:ascii="仿宋" w:hAnsi="仿宋" w:eastAsia="仿宋" w:cstheme="minorBidi"/>
          <w:sz w:val="32"/>
          <w:szCs w:val="32"/>
        </w:rPr>
        <w:t>苏木乡镇“服务中心”</w:t>
      </w:r>
      <w:r>
        <w:rPr>
          <w:rFonts w:hint="eastAsia" w:ascii="仿宋" w:hAnsi="仿宋" w:eastAsia="仿宋" w:cstheme="minorBidi"/>
          <w:sz w:val="32"/>
          <w:szCs w:val="32"/>
          <w:lang w:eastAsia="zh-CN"/>
        </w:rPr>
        <w:t>作用</w:t>
      </w:r>
      <w:r>
        <w:rPr>
          <w:rFonts w:hint="eastAsia" w:ascii="仿宋" w:hAnsi="仿宋" w:eastAsia="仿宋" w:cstheme="minorBidi"/>
          <w:sz w:val="32"/>
          <w:szCs w:val="32"/>
        </w:rPr>
        <w:t>，强化服务意识、提升服务能力、补齐服务短板。</w:t>
      </w:r>
      <w:r>
        <w:rPr>
          <w:rFonts w:hint="eastAsia" w:ascii="仿宋" w:hAnsi="仿宋" w:eastAsia="仿宋" w:cstheme="minorBidi"/>
          <w:sz w:val="32"/>
          <w:szCs w:val="32"/>
          <w:lang w:eastAsia="zh-CN"/>
        </w:rPr>
        <w:t>发挥</w:t>
      </w:r>
      <w:r>
        <w:rPr>
          <w:rFonts w:hint="eastAsia" w:ascii="仿宋" w:hAnsi="仿宋" w:eastAsia="仿宋" w:cstheme="minorBidi"/>
          <w:sz w:val="32"/>
          <w:szCs w:val="32"/>
        </w:rPr>
        <w:t>行政嘎查村最基本的治理单元</w:t>
      </w:r>
      <w:r>
        <w:rPr>
          <w:rFonts w:hint="eastAsia" w:ascii="仿宋" w:hAnsi="仿宋" w:eastAsia="仿宋" w:cstheme="minorBidi"/>
          <w:sz w:val="32"/>
          <w:szCs w:val="32"/>
          <w:lang w:eastAsia="zh-CN"/>
        </w:rPr>
        <w:t>作用</w:t>
      </w:r>
      <w:r>
        <w:rPr>
          <w:rFonts w:hint="eastAsia" w:ascii="仿宋" w:hAnsi="仿宋" w:eastAsia="仿宋" w:cstheme="minorBidi"/>
          <w:sz w:val="32"/>
          <w:szCs w:val="32"/>
        </w:rPr>
        <w:t>，强化自我管理、自我服务、自我教育、自我监督，充分发挥党统一领导下的战斗堡垒作用，加强农村牧区网格化服务管理，把网格织密织牢织成体系，全面提升农村牧区治理效能。</w:t>
      </w:r>
    </w:p>
    <w:tbl>
      <w:tblPr>
        <w:tblStyle w:val="26"/>
        <w:tblW w:w="82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8260"/>
      </w:tblGrid>
      <w:tr w14:paraId="64A55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30" w:hRule="atLeast"/>
          <w:jc w:val="center"/>
        </w:trPr>
        <w:tc>
          <w:tcPr>
            <w:tcW w:w="8260" w:type="dxa"/>
            <w:tcBorders>
              <w:bottom w:val="single" w:color="auto" w:sz="4" w:space="0"/>
              <w:tl2br w:val="nil"/>
              <w:tr2bl w:val="nil"/>
            </w:tcBorders>
            <w:shd w:val="clear" w:color="auto" w:fill="FFFFFF" w:themeFill="background1"/>
            <w:vAlign w:val="center"/>
          </w:tcPr>
          <w:p w14:paraId="64CC29F9">
            <w:pPr>
              <w:spacing w:line="560" w:lineRule="exact"/>
              <w:ind w:left="210" w:right="210"/>
              <w:jc w:val="center"/>
              <w:rPr>
                <w:rFonts w:ascii="宋体" w:hAnsi="宋体" w:eastAsia="宋体" w:cs="Times New Roman"/>
                <w:sz w:val="28"/>
                <w:szCs w:val="28"/>
              </w:rPr>
            </w:pPr>
            <w:r>
              <w:rPr>
                <w:rFonts w:hint="eastAsia" w:ascii="黑体" w:hAnsi="黑体" w:eastAsia="黑体" w:cs="黑体"/>
                <w:b w:val="0"/>
                <w:bCs w:val="0"/>
                <w:sz w:val="28"/>
                <w:szCs w:val="28"/>
              </w:rPr>
              <w:t>专栏</w:t>
            </w:r>
            <w:r>
              <w:rPr>
                <w:rFonts w:hint="eastAsia" w:ascii="黑体" w:hAnsi="黑体" w:eastAsia="黑体" w:cs="黑体"/>
                <w:b w:val="0"/>
                <w:bCs w:val="0"/>
                <w:sz w:val="28"/>
                <w:szCs w:val="28"/>
                <w:lang w:val="en-US" w:eastAsia="zh-CN"/>
              </w:rPr>
              <w:t>9</w:t>
            </w:r>
            <w:r>
              <w:rPr>
                <w:rFonts w:hint="eastAsia" w:ascii="黑体" w:hAnsi="黑体" w:eastAsia="黑体" w:cs="黑体"/>
                <w:b w:val="0"/>
                <w:bCs w:val="0"/>
                <w:sz w:val="28"/>
                <w:szCs w:val="28"/>
              </w:rPr>
              <w:t xml:space="preserve">  农村牧区社会综合治理工程</w:t>
            </w:r>
          </w:p>
        </w:tc>
      </w:tr>
      <w:tr w14:paraId="0271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90" w:hRule="atLeast"/>
          <w:jc w:val="center"/>
        </w:trPr>
        <w:tc>
          <w:tcPr>
            <w:tcW w:w="8260" w:type="dxa"/>
            <w:tcBorders>
              <w:top w:val="single" w:color="auto" w:sz="4" w:space="0"/>
              <w:bottom w:val="single" w:color="auto" w:sz="4" w:space="0"/>
              <w:tl2br w:val="nil"/>
              <w:tr2bl w:val="nil"/>
            </w:tcBorders>
            <w:shd w:val="clear" w:color="auto" w:fill="FFFFFF" w:themeFill="background1"/>
          </w:tcPr>
          <w:p w14:paraId="3421FBDD">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210" w:right="210" w:firstLine="480" w:firstLineChars="200"/>
              <w:jc w:val="both"/>
              <w:textAlignment w:val="auto"/>
              <w:rPr>
                <w:rFonts w:ascii="仿宋" w:hAnsi="仿宋" w:eastAsia="仿宋" w:cs="仿宋"/>
              </w:rPr>
            </w:pPr>
            <w:r>
              <w:rPr>
                <w:rFonts w:hint="eastAsia" w:ascii="黑体" w:hAnsi="黑体" w:eastAsia="黑体" w:cs="黑体"/>
                <w:kern w:val="2"/>
              </w:rPr>
              <w:t>1</w:t>
            </w:r>
            <w:r>
              <w:rPr>
                <w:rFonts w:ascii="黑体" w:hAnsi="黑体" w:eastAsia="黑体" w:cs="黑体"/>
                <w:kern w:val="2"/>
              </w:rPr>
              <w:t>.</w:t>
            </w:r>
            <w:r>
              <w:rPr>
                <w:rFonts w:hint="eastAsia" w:ascii="黑体" w:hAnsi="黑体" w:eastAsia="黑体" w:cs="黑体"/>
                <w:kern w:val="2"/>
              </w:rPr>
              <w:t>农村牧区社会治安防控体系建设</w:t>
            </w:r>
            <w:r>
              <w:rPr>
                <w:rFonts w:hint="eastAsia" w:ascii="黑体" w:hAnsi="黑体" w:eastAsia="黑体" w:cs="黑体"/>
                <w:kern w:val="2"/>
                <w:lang w:val="en" w:eastAsia="zh-CN"/>
              </w:rPr>
              <w:t>。</w:t>
            </w:r>
            <w:r>
              <w:rPr>
                <w:rFonts w:hint="eastAsia" w:ascii="仿宋" w:hAnsi="仿宋" w:eastAsia="仿宋" w:cs="仿宋"/>
              </w:rPr>
              <w:t>健全农村牧区人防、技防、物防有机结合的治安防控网，增加农村牧区集贸市场、商业网点、文化娱乐场所、旅游景点等重点地区治安室与报警点设置。加强农村牧区消防、交通、危险物品、大型群众性活动安全监管，形成具有农村牧区特色的社会治安防控格局。</w:t>
            </w:r>
          </w:p>
          <w:p w14:paraId="62CA9FBE">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210" w:right="210" w:firstLine="480" w:firstLineChars="200"/>
              <w:jc w:val="both"/>
              <w:textAlignment w:val="auto"/>
              <w:rPr>
                <w:rFonts w:ascii="仿宋" w:hAnsi="仿宋" w:eastAsia="仿宋" w:cs="仿宋"/>
              </w:rPr>
            </w:pPr>
            <w:r>
              <w:rPr>
                <w:rFonts w:hint="eastAsia" w:ascii="黑体" w:hAnsi="黑体" w:eastAsia="黑体" w:cs="黑体"/>
                <w:kern w:val="2"/>
              </w:rPr>
              <w:t>2</w:t>
            </w:r>
            <w:r>
              <w:rPr>
                <w:rFonts w:ascii="黑体" w:hAnsi="黑体" w:eastAsia="黑体" w:cs="黑体"/>
                <w:kern w:val="2"/>
              </w:rPr>
              <w:t>.</w:t>
            </w:r>
            <w:r>
              <w:rPr>
                <w:rFonts w:hint="eastAsia" w:ascii="黑体" w:hAnsi="黑体" w:eastAsia="黑体" w:cs="黑体"/>
                <w:kern w:val="2"/>
                <w:lang w:eastAsia="zh-CN"/>
              </w:rPr>
              <w:t>农</w:t>
            </w:r>
            <w:r>
              <w:rPr>
                <w:rFonts w:hint="eastAsia" w:ascii="黑体" w:hAnsi="黑体" w:eastAsia="黑体" w:cs="黑体"/>
                <w:kern w:val="2"/>
              </w:rPr>
              <w:t>村</w:t>
            </w:r>
            <w:r>
              <w:rPr>
                <w:rFonts w:hint="eastAsia" w:ascii="黑体" w:hAnsi="黑体" w:eastAsia="黑体" w:cs="黑体"/>
                <w:kern w:val="2"/>
                <w:lang w:eastAsia="zh-CN"/>
              </w:rPr>
              <w:t>牧区</w:t>
            </w:r>
            <w:r>
              <w:rPr>
                <w:rFonts w:hint="eastAsia" w:ascii="黑体" w:hAnsi="黑体" w:eastAsia="黑体" w:cs="黑体"/>
                <w:kern w:val="2"/>
              </w:rPr>
              <w:t>网格化服务管理</w:t>
            </w:r>
            <w:r>
              <w:rPr>
                <w:rFonts w:hint="eastAsia" w:ascii="黑体" w:hAnsi="黑体" w:eastAsia="黑体" w:cs="黑体"/>
                <w:kern w:val="2"/>
                <w:lang w:eastAsia="zh-CN"/>
              </w:rPr>
              <w:t>。</w:t>
            </w:r>
            <w:r>
              <w:rPr>
                <w:rFonts w:hint="eastAsia" w:ascii="仿宋" w:hAnsi="仿宋" w:eastAsia="仿宋" w:cs="仿宋"/>
              </w:rPr>
              <w:t>按照“规模适度、无缝覆盖、动态调整”的原则，根据地域和人口实际分布情况，将嘎查村“两委”成员、村民代表、有威望的</w:t>
            </w:r>
            <w:r>
              <w:rPr>
                <w:rFonts w:hint="eastAsia" w:ascii="仿宋" w:hAnsi="仿宋" w:eastAsia="仿宋" w:cs="仿宋"/>
                <w:lang w:eastAsia="zh-CN"/>
              </w:rPr>
              <w:t>嘎查</w:t>
            </w:r>
            <w:r>
              <w:rPr>
                <w:rFonts w:hint="eastAsia" w:ascii="仿宋" w:hAnsi="仿宋" w:eastAsia="仿宋" w:cs="仿宋"/>
              </w:rPr>
              <w:t>村民、个体经营大户、党员等确定为网格员，承担网格内社情民意收集、基础信息采集、法规政策宣传以及其他各项服务管理工作，全面提升</w:t>
            </w:r>
            <w:r>
              <w:rPr>
                <w:rFonts w:hint="eastAsia" w:ascii="仿宋" w:hAnsi="仿宋" w:eastAsia="仿宋" w:cs="仿宋"/>
                <w:lang w:eastAsia="zh-CN"/>
              </w:rPr>
              <w:t>农</w:t>
            </w:r>
            <w:r>
              <w:rPr>
                <w:rFonts w:hint="eastAsia" w:ascii="仿宋" w:hAnsi="仿宋" w:eastAsia="仿宋" w:cs="仿宋"/>
              </w:rPr>
              <w:t>村</w:t>
            </w:r>
            <w:r>
              <w:rPr>
                <w:rFonts w:hint="eastAsia" w:ascii="仿宋" w:hAnsi="仿宋" w:eastAsia="仿宋" w:cs="仿宋"/>
                <w:lang w:eastAsia="zh-CN"/>
              </w:rPr>
              <w:t>牧区</w:t>
            </w:r>
            <w:r>
              <w:rPr>
                <w:rFonts w:hint="eastAsia" w:ascii="仿宋" w:hAnsi="仿宋" w:eastAsia="仿宋" w:cs="仿宋"/>
              </w:rPr>
              <w:t>服务管理水平。</w:t>
            </w:r>
          </w:p>
          <w:p w14:paraId="0DC3494D">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210" w:right="210" w:firstLine="480" w:firstLineChars="200"/>
              <w:jc w:val="both"/>
              <w:textAlignment w:val="auto"/>
              <w:rPr>
                <w:rFonts w:ascii="仿宋" w:hAnsi="仿宋" w:eastAsia="仿宋" w:cs="仿宋"/>
              </w:rPr>
            </w:pPr>
            <w:r>
              <w:rPr>
                <w:rFonts w:hint="eastAsia" w:ascii="黑体" w:hAnsi="黑体" w:eastAsia="黑体" w:cs="黑体"/>
                <w:kern w:val="2"/>
              </w:rPr>
              <w:t>3</w:t>
            </w:r>
            <w:r>
              <w:rPr>
                <w:rFonts w:ascii="黑体" w:hAnsi="黑体" w:eastAsia="黑体" w:cs="黑体"/>
                <w:kern w:val="2"/>
              </w:rPr>
              <w:t>.</w:t>
            </w:r>
            <w:r>
              <w:rPr>
                <w:rFonts w:hint="eastAsia" w:ascii="黑体" w:hAnsi="黑体" w:eastAsia="黑体" w:cs="黑体"/>
                <w:kern w:val="2"/>
                <w:lang w:eastAsia="zh-CN"/>
              </w:rPr>
              <w:t>嘎查</w:t>
            </w:r>
            <w:r>
              <w:rPr>
                <w:rFonts w:hint="eastAsia" w:ascii="黑体" w:hAnsi="黑体" w:eastAsia="黑体" w:cs="黑体"/>
                <w:kern w:val="2"/>
              </w:rPr>
              <w:t>村级事物阳光工程</w:t>
            </w:r>
            <w:r>
              <w:rPr>
                <w:rFonts w:hint="eastAsia" w:ascii="黑体" w:hAnsi="黑体" w:eastAsia="黑体" w:cs="黑体"/>
                <w:kern w:val="2"/>
                <w:lang w:eastAsia="zh-CN"/>
              </w:rPr>
              <w:t>。</w:t>
            </w:r>
            <w:r>
              <w:rPr>
                <w:rFonts w:hint="eastAsia" w:ascii="仿宋" w:hAnsi="仿宋" w:eastAsia="仿宋" w:cs="仿宋"/>
              </w:rPr>
              <w:t>完善“三务”公开制度，健全嘎查村</w:t>
            </w:r>
            <w:r>
              <w:rPr>
                <w:rFonts w:hint="eastAsia" w:ascii="仿宋" w:hAnsi="仿宋" w:eastAsia="仿宋" w:cs="仿宋"/>
                <w:lang w:eastAsia="zh-CN"/>
              </w:rPr>
              <w:t>级</w:t>
            </w:r>
            <w:r>
              <w:rPr>
                <w:rFonts w:hint="eastAsia" w:ascii="仿宋" w:hAnsi="仿宋" w:eastAsia="仿宋" w:cs="仿宋"/>
              </w:rPr>
              <w:t>档案管理制度，推广嘎查村级“阳光公开”建管平台。</w:t>
            </w:r>
          </w:p>
        </w:tc>
      </w:tr>
      <w:bookmarkEnd w:id="447"/>
      <w:bookmarkEnd w:id="448"/>
      <w:bookmarkEnd w:id="449"/>
      <w:bookmarkEnd w:id="450"/>
      <w:bookmarkEnd w:id="451"/>
      <w:bookmarkEnd w:id="452"/>
    </w:tbl>
    <w:p w14:paraId="6C0A116A">
      <w:pPr>
        <w:rPr>
          <w:rFonts w:hint="eastAsia"/>
        </w:rPr>
      </w:pPr>
      <w:bookmarkStart w:id="495" w:name="_Toc67985819"/>
      <w:bookmarkStart w:id="496" w:name="_Toc6371"/>
      <w:bookmarkStart w:id="497" w:name="_Toc10264"/>
      <w:bookmarkStart w:id="498" w:name="_Toc4163"/>
      <w:bookmarkStart w:id="499" w:name="_Toc28544"/>
      <w:bookmarkStart w:id="500" w:name="_Toc58870236"/>
      <w:bookmarkStart w:id="501" w:name="_Toc59000609"/>
    </w:p>
    <w:p w14:paraId="256AD4D0">
      <w:pPr>
        <w:rPr>
          <w:rFonts w:hint="eastAsia"/>
        </w:rPr>
      </w:pPr>
    </w:p>
    <w:p w14:paraId="1CE69955">
      <w:pPr>
        <w:rPr>
          <w:rFonts w:hint="eastAsia"/>
        </w:rPr>
      </w:pPr>
    </w:p>
    <w:p w14:paraId="78E6BAC0">
      <w:pPr>
        <w:rPr>
          <w:rFonts w:hint="eastAsia"/>
        </w:rPr>
      </w:pPr>
    </w:p>
    <w:p w14:paraId="1061711B">
      <w:pPr>
        <w:pStyle w:val="2"/>
        <w:rPr>
          <w:rFonts w:hint="eastAsia"/>
        </w:rPr>
      </w:pPr>
    </w:p>
    <w:p w14:paraId="1D3045AB">
      <w:pPr>
        <w:pStyle w:val="2"/>
        <w:rPr>
          <w:rFonts w:hint="eastAsia"/>
        </w:rPr>
      </w:pPr>
    </w:p>
    <w:p w14:paraId="354F98E7">
      <w:pPr>
        <w:rPr>
          <w:rFonts w:hint="eastAsia"/>
        </w:rPr>
      </w:pPr>
    </w:p>
    <w:p w14:paraId="5759F0CA">
      <w:pPr>
        <w:rPr>
          <w:rFonts w:hint="eastAsia"/>
        </w:rPr>
      </w:pPr>
    </w:p>
    <w:p w14:paraId="4C0C2AF3">
      <w:pPr>
        <w:rPr>
          <w:rFonts w:hint="eastAsia"/>
        </w:rPr>
      </w:pPr>
    </w:p>
    <w:p w14:paraId="4134D741">
      <w:pPr>
        <w:rPr>
          <w:rFonts w:hint="eastAsia"/>
        </w:rPr>
      </w:pPr>
    </w:p>
    <w:p w14:paraId="0926613C">
      <w:pPr>
        <w:pageBreakBefore w:val="0"/>
        <w:widowControl w:val="0"/>
        <w:kinsoku/>
        <w:wordWrap/>
        <w:overflowPunct/>
        <w:topLinePunct w:val="0"/>
        <w:autoSpaceDE/>
        <w:autoSpaceDN/>
        <w:bidi w:val="0"/>
        <w:adjustRightInd/>
        <w:snapToGrid/>
        <w:spacing w:line="600" w:lineRule="exact"/>
        <w:textAlignment w:val="auto"/>
        <w:rPr>
          <w:rFonts w:hint="eastAsia"/>
          <w:sz w:val="32"/>
          <w:szCs w:val="32"/>
        </w:rPr>
      </w:pPr>
    </w:p>
    <w:p w14:paraId="676DE687">
      <w:pPr>
        <w:pStyle w:val="2"/>
        <w:rPr>
          <w:rFonts w:hint="eastAsia"/>
          <w:sz w:val="32"/>
          <w:szCs w:val="32"/>
        </w:rPr>
      </w:pPr>
    </w:p>
    <w:bookmarkEnd w:id="495"/>
    <w:bookmarkEnd w:id="496"/>
    <w:bookmarkEnd w:id="497"/>
    <w:bookmarkEnd w:id="498"/>
    <w:bookmarkEnd w:id="499"/>
    <w:p w14:paraId="240D69C4">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bookmarkStart w:id="502" w:name="_Toc752678536_WPSOffice_Level1"/>
      <w:bookmarkStart w:id="503" w:name="_Toc58870223"/>
      <w:bookmarkStart w:id="504" w:name="_Toc67985820"/>
      <w:bookmarkStart w:id="505" w:name="_Toc59000596"/>
    </w:p>
    <w:p w14:paraId="40A3A886">
      <w:pPr>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eastAsia="zh-CN"/>
        </w:rPr>
        <w:t>九</w:t>
      </w:r>
      <w:r>
        <w:rPr>
          <w:rFonts w:hint="eastAsia" w:ascii="方正小标宋简体" w:hAnsi="方正小标宋简体" w:eastAsia="方正小标宋简体" w:cs="方正小标宋简体"/>
          <w:sz w:val="44"/>
          <w:szCs w:val="44"/>
        </w:rPr>
        <w:t xml:space="preserve">章 </w:t>
      </w:r>
      <w:r>
        <w:rPr>
          <w:rFonts w:hint="eastAsia" w:ascii="方正小标宋简体" w:hAnsi="方正小标宋简体" w:eastAsia="方正小标宋简体" w:cs="方正小标宋简体"/>
          <w:sz w:val="44"/>
          <w:szCs w:val="44"/>
          <w:lang w:eastAsia="zh-CN"/>
        </w:rPr>
        <w:t>环境影响评价</w:t>
      </w:r>
      <w:bookmarkEnd w:id="502"/>
    </w:p>
    <w:p w14:paraId="78CAEC29">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6761307">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theme="minorBidi"/>
          <w:sz w:val="32"/>
          <w:szCs w:val="32"/>
        </w:rPr>
      </w:pPr>
      <w:r>
        <w:rPr>
          <w:rFonts w:hint="eastAsia" w:ascii="仿宋" w:hAnsi="仿宋" w:eastAsia="仿宋" w:cs="仿宋"/>
          <w:sz w:val="32"/>
          <w:szCs w:val="32"/>
        </w:rPr>
        <w:t>规划坚持以绿色引</w:t>
      </w:r>
      <w:r>
        <w:rPr>
          <w:rFonts w:hint="eastAsia" w:ascii="仿宋" w:hAnsi="仿宋" w:eastAsia="仿宋" w:cstheme="minorBidi"/>
          <w:sz w:val="32"/>
          <w:szCs w:val="32"/>
        </w:rPr>
        <w:t>领农牧业农村牧区现代化发展，符合《锡林郭勒盟行政公署关于印发锡林郭勒盟国民经济和社会发展第十四个五年规划和</w:t>
      </w:r>
      <w:r>
        <w:rPr>
          <w:rFonts w:ascii="仿宋" w:hAnsi="仿宋" w:eastAsia="仿宋" w:cstheme="minorBidi"/>
          <w:sz w:val="32"/>
          <w:szCs w:val="32"/>
        </w:rPr>
        <w:t>2035年远景目标纲要的通知》</w:t>
      </w:r>
      <w:r>
        <w:rPr>
          <w:rFonts w:hint="eastAsia" w:ascii="仿宋" w:hAnsi="仿宋" w:eastAsia="仿宋" w:cstheme="minorBidi"/>
          <w:sz w:val="32"/>
          <w:szCs w:val="32"/>
        </w:rPr>
        <w:t>（锡署发〔</w:t>
      </w:r>
      <w:r>
        <w:rPr>
          <w:rFonts w:ascii="仿宋" w:hAnsi="仿宋" w:eastAsia="仿宋" w:cstheme="minorBidi"/>
          <w:sz w:val="32"/>
          <w:szCs w:val="32"/>
        </w:rPr>
        <w:t>2021〕51 号）“坚定不移走以生态优先、</w:t>
      </w:r>
      <w:r>
        <w:rPr>
          <w:rFonts w:hint="eastAsia" w:ascii="仿宋" w:hAnsi="仿宋" w:eastAsia="仿宋" w:cstheme="minorBidi"/>
          <w:sz w:val="32"/>
          <w:szCs w:val="32"/>
          <w:lang w:eastAsia="zh-CN"/>
        </w:rPr>
        <w:t>绿色</w:t>
      </w:r>
      <w:r>
        <w:rPr>
          <w:rFonts w:ascii="仿宋" w:hAnsi="仿宋" w:eastAsia="仿宋" w:cstheme="minorBidi"/>
          <w:sz w:val="32"/>
          <w:szCs w:val="32"/>
        </w:rPr>
        <w:t>发</w:t>
      </w:r>
      <w:r>
        <w:rPr>
          <w:rFonts w:hint="eastAsia" w:ascii="仿宋" w:hAnsi="仿宋" w:eastAsia="仿宋" w:cstheme="minorBidi"/>
          <w:sz w:val="32"/>
          <w:szCs w:val="32"/>
        </w:rPr>
        <w:t>展为导向的高质量发展新路子”和“坚持发展绿色化、经营产业化、生产标准化、营销品牌化、投入集约化、管理信息化，大力发展生态农牧业，全面提高农牧业质量效益和竞争力”的</w:t>
      </w:r>
      <w:r>
        <w:rPr>
          <w:rFonts w:hint="eastAsia" w:ascii="仿宋" w:hAnsi="仿宋" w:eastAsia="仿宋" w:cstheme="minorBidi"/>
          <w:sz w:val="32"/>
          <w:szCs w:val="32"/>
          <w:lang w:eastAsia="zh-CN"/>
        </w:rPr>
        <w:t>相关</w:t>
      </w:r>
      <w:r>
        <w:rPr>
          <w:rFonts w:hint="eastAsia" w:ascii="仿宋" w:hAnsi="仿宋" w:eastAsia="仿宋" w:cstheme="minorBidi"/>
          <w:sz w:val="32"/>
          <w:szCs w:val="32"/>
        </w:rPr>
        <w:t>要求。</w:t>
      </w:r>
    </w:p>
    <w:p w14:paraId="0CF83043">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2"/>
        </w:rPr>
      </w:pPr>
      <w:bookmarkStart w:id="506" w:name="_Toc32125070_WPSOffice_Level2"/>
      <w:bookmarkStart w:id="507" w:name="_Toc19752"/>
      <w:bookmarkStart w:id="508" w:name="_Toc11298"/>
      <w:bookmarkStart w:id="509" w:name="_Toc22863"/>
      <w:bookmarkStart w:id="510" w:name="_Toc21322"/>
      <w:r>
        <w:rPr>
          <w:rFonts w:hint="eastAsia" w:ascii="Calibri Light" w:hAnsi="Calibri Light" w:cs="Times New Roman"/>
          <w:b w:val="0"/>
          <w:bCs w:val="0"/>
          <w:sz w:val="32"/>
          <w:szCs w:val="32"/>
        </w:rPr>
        <w:t>第一节 有利影响</w:t>
      </w:r>
      <w:bookmarkEnd w:id="503"/>
      <w:bookmarkEnd w:id="504"/>
      <w:bookmarkEnd w:id="505"/>
      <w:bookmarkEnd w:id="506"/>
      <w:bookmarkEnd w:id="507"/>
      <w:bookmarkEnd w:id="508"/>
      <w:bookmarkEnd w:id="509"/>
      <w:bookmarkEnd w:id="510"/>
    </w:p>
    <w:p w14:paraId="0F5BEA73">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草原生态环境质量持续改善。</w:t>
      </w:r>
      <w:r>
        <w:rPr>
          <w:rFonts w:hint="eastAsia" w:ascii="仿宋" w:hAnsi="仿宋" w:eastAsia="仿宋" w:cs="仿宋"/>
          <w:sz w:val="32"/>
          <w:szCs w:val="32"/>
        </w:rPr>
        <w:t>规划实施期间，全盟草原生态保护力度不断加强，严守草原生态保护红线，贯彻落实新一轮草原生态保护补助奖励政策，加大草原执法监管力度，实施重点生态建设工程，落实草原禁牧和草畜平衡制度，草场退化</w:t>
      </w:r>
      <w:r>
        <w:rPr>
          <w:rFonts w:hint="eastAsia" w:ascii="仿宋" w:hAnsi="仿宋" w:eastAsia="仿宋" w:cs="仿宋"/>
          <w:sz w:val="32"/>
          <w:szCs w:val="32"/>
          <w:lang w:eastAsia="zh-CN"/>
        </w:rPr>
        <w:t>将</w:t>
      </w:r>
      <w:r>
        <w:rPr>
          <w:rFonts w:hint="eastAsia" w:ascii="仿宋" w:hAnsi="仿宋" w:eastAsia="仿宋" w:cs="仿宋"/>
          <w:sz w:val="32"/>
          <w:szCs w:val="32"/>
        </w:rPr>
        <w:t>得到有效控制，草原植被稳步恢复，生态环境明显改善。</w:t>
      </w:r>
    </w:p>
    <w:p w14:paraId="75014939">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Times New Roman"/>
          <w:sz w:val="32"/>
          <w:szCs w:val="32"/>
        </w:rPr>
      </w:pPr>
      <w:r>
        <w:rPr>
          <w:rFonts w:hint="eastAsia" w:ascii="仿宋" w:hAnsi="仿宋" w:eastAsia="仿宋" w:cs="仿宋"/>
          <w:b/>
          <w:bCs/>
          <w:sz w:val="32"/>
          <w:szCs w:val="32"/>
        </w:rPr>
        <w:t>人居环境质量明显提升。</w:t>
      </w:r>
      <w:r>
        <w:rPr>
          <w:rFonts w:hint="eastAsia" w:ascii="仿宋" w:hAnsi="仿宋" w:eastAsia="仿宋" w:cs="仿宋"/>
          <w:sz w:val="32"/>
          <w:szCs w:val="32"/>
        </w:rPr>
        <w:t>规划实施期间，全盟进一步加强人居环境整治力度。扎实推进“厕所革命”，卫生户厕普及率逐步提高。完善苏木</w:t>
      </w:r>
      <w:r>
        <w:rPr>
          <w:rFonts w:hint="eastAsia" w:ascii="仿宋" w:hAnsi="仿宋" w:eastAsia="仿宋" w:cs="仿宋"/>
          <w:sz w:val="32"/>
          <w:szCs w:val="32"/>
          <w:lang w:eastAsia="zh-CN"/>
        </w:rPr>
        <w:t>乡</w:t>
      </w:r>
      <w:r>
        <w:rPr>
          <w:rFonts w:hint="eastAsia" w:ascii="仿宋" w:hAnsi="仿宋" w:eastAsia="仿宋" w:cs="仿宋"/>
          <w:sz w:val="32"/>
          <w:szCs w:val="32"/>
        </w:rPr>
        <w:t>镇嘎查村生活垃圾收集处理的</w:t>
      </w:r>
      <w:r>
        <w:rPr>
          <w:rFonts w:hint="eastAsia" w:ascii="仿宋" w:hAnsi="仿宋" w:eastAsia="仿宋" w:cs="Times New Roman"/>
          <w:sz w:val="32"/>
          <w:szCs w:val="32"/>
        </w:rPr>
        <w:t>基础设施建设，农村牧区生活垃圾得到有效治理，农村牧区污水治理得到有效管控。与此同时，通过加快治理农牧业领域环境问题，持续推进农牧业生产废弃物资源化利用、秸秆综合利用，产地环境不断净化，面源污染逐步减少。“十四五”期间，全盟农村牧区水、电、路、讯等基础设施不断完善，村容村貌得到</w:t>
      </w:r>
      <w:r>
        <w:rPr>
          <w:rFonts w:hint="eastAsia" w:ascii="仿宋" w:hAnsi="仿宋" w:eastAsia="仿宋" w:cs="Times New Roman"/>
          <w:sz w:val="32"/>
          <w:szCs w:val="32"/>
          <w:lang w:eastAsia="zh-CN"/>
        </w:rPr>
        <w:t>整体</w:t>
      </w:r>
      <w:r>
        <w:rPr>
          <w:rFonts w:hint="eastAsia" w:ascii="仿宋" w:hAnsi="仿宋" w:eastAsia="仿宋" w:cs="Times New Roman"/>
          <w:sz w:val="32"/>
          <w:szCs w:val="32"/>
        </w:rPr>
        <w:t>提升，嘎查村宜居水平进一步提高，人居环境质量将得到有效改善。</w:t>
      </w:r>
    </w:p>
    <w:p w14:paraId="3B709E69">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2"/>
        </w:rPr>
      </w:pPr>
      <w:bookmarkStart w:id="511" w:name="_Toc32490"/>
      <w:bookmarkStart w:id="512" w:name="_Toc67985821"/>
      <w:bookmarkStart w:id="513" w:name="_Toc19497"/>
      <w:bookmarkStart w:id="514" w:name="_Toc780670889_WPSOffice_Level2"/>
      <w:bookmarkStart w:id="515" w:name="_Toc59000600"/>
      <w:bookmarkStart w:id="516" w:name="_Toc58870227"/>
      <w:bookmarkStart w:id="517" w:name="_Toc14922"/>
      <w:bookmarkStart w:id="518" w:name="_Toc23200"/>
      <w:r>
        <w:rPr>
          <w:rFonts w:hint="eastAsia" w:ascii="Calibri Light" w:hAnsi="Calibri Light" w:cs="Times New Roman"/>
          <w:b w:val="0"/>
          <w:bCs w:val="0"/>
          <w:sz w:val="32"/>
          <w:szCs w:val="32"/>
        </w:rPr>
        <w:t>第二节 不利影响</w:t>
      </w:r>
      <w:bookmarkEnd w:id="511"/>
      <w:bookmarkEnd w:id="512"/>
      <w:bookmarkEnd w:id="513"/>
      <w:bookmarkEnd w:id="514"/>
      <w:bookmarkEnd w:id="515"/>
      <w:bookmarkEnd w:id="516"/>
      <w:bookmarkEnd w:id="517"/>
      <w:bookmarkEnd w:id="518"/>
    </w:p>
    <w:p w14:paraId="4CC3DA9C">
      <w:pPr>
        <w:pStyle w:val="2"/>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对大气的影响。</w:t>
      </w:r>
      <w:r>
        <w:rPr>
          <w:rFonts w:hint="eastAsia" w:ascii="仿宋" w:hAnsi="仿宋" w:eastAsia="仿宋" w:cs="仿宋"/>
          <w:sz w:val="32"/>
          <w:szCs w:val="32"/>
        </w:rPr>
        <w:t>畜牧业排放气体主要来源于养殖场畜禽圈舍</w:t>
      </w:r>
      <w:r>
        <w:rPr>
          <w:rFonts w:hint="eastAsia" w:ascii="仿宋" w:hAnsi="仿宋" w:eastAsia="仿宋" w:cs="仿宋"/>
          <w:sz w:val="32"/>
          <w:szCs w:val="32"/>
          <w:lang w:eastAsia="zh-CN"/>
        </w:rPr>
        <w:t>、</w:t>
      </w:r>
      <w:r>
        <w:rPr>
          <w:rFonts w:hint="eastAsia" w:ascii="仿宋" w:hAnsi="仿宋" w:eastAsia="仿宋" w:cs="仿宋"/>
          <w:sz w:val="32"/>
          <w:szCs w:val="32"/>
        </w:rPr>
        <w:t>粪污处理以及屠宰场待宰车间、污水处理设施等方面。臭气主要是由畜禽粪尿发酵分解产生，畜禽粪尿中含有大量碳水化合物和含氮化合物，在厌氧条件</w:t>
      </w:r>
      <w:r>
        <w:rPr>
          <w:rFonts w:hint="eastAsia" w:ascii="仿宋" w:hAnsi="仿宋" w:eastAsia="仿宋" w:cs="仿宋"/>
          <w:sz w:val="32"/>
          <w:szCs w:val="32"/>
          <w:lang w:eastAsia="zh-CN"/>
        </w:rPr>
        <w:t>下</w:t>
      </w:r>
      <w:r>
        <w:rPr>
          <w:rFonts w:hint="eastAsia" w:ascii="仿宋" w:hAnsi="仿宋" w:eastAsia="仿宋" w:cs="仿宋"/>
          <w:sz w:val="32"/>
          <w:szCs w:val="32"/>
        </w:rPr>
        <w:t>可产生大量氨、硫化氢、甲烷、有机酸、乙烯醇、硫酸二甲硫醚等有异味的有害气体，如果粪便清理和处理不及时、不妥当，气体浓度会成倍增加。规划期间，随着各类项目的建设实施，将会对农村牧区空气等环境产生一定影响。</w:t>
      </w:r>
    </w:p>
    <w:p w14:paraId="17D00867">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对水资源的影响。</w:t>
      </w:r>
      <w:r>
        <w:rPr>
          <w:rFonts w:hint="eastAsia" w:ascii="仿宋" w:hAnsi="仿宋" w:eastAsia="仿宋" w:cs="仿宋"/>
          <w:sz w:val="32"/>
          <w:szCs w:val="32"/>
        </w:rPr>
        <w:t>规划期间，将培育大量新型农牧业经营主体，会造成清洗牛羊养殖场时产生冲洗废水。冲洗废水的主要成分为BOD、COD、N</w:t>
      </w:r>
      <w:r>
        <w:rPr>
          <w:rFonts w:hint="eastAsia" w:ascii="仿宋" w:hAnsi="仿宋" w:eastAsia="仿宋" w:cs="仿宋"/>
          <w:sz w:val="32"/>
          <w:szCs w:val="32"/>
          <w:vertAlign w:val="subscript"/>
        </w:rPr>
        <w:t>3</w:t>
      </w:r>
      <w:r>
        <w:rPr>
          <w:rFonts w:hint="eastAsia" w:ascii="仿宋" w:hAnsi="仿宋" w:eastAsia="仿宋" w:cs="仿宋"/>
          <w:sz w:val="32"/>
          <w:szCs w:val="32"/>
        </w:rPr>
        <w:t>H－N、TP等有机污染物，通过降雨溢流形成地表径流进入地表水，使得地表水富营养化；通过渗漏淋溶等方式进入地下水，污染地下水，危害人</w:t>
      </w:r>
      <w:r>
        <w:rPr>
          <w:rFonts w:hint="eastAsia" w:ascii="仿宋" w:hAnsi="仿宋" w:eastAsia="仿宋" w:cs="仿宋"/>
          <w:sz w:val="32"/>
          <w:szCs w:val="32"/>
          <w:lang w:eastAsia="zh-CN"/>
        </w:rPr>
        <w:t>体</w:t>
      </w:r>
      <w:r>
        <w:rPr>
          <w:rFonts w:hint="eastAsia" w:ascii="仿宋" w:hAnsi="仿宋" w:eastAsia="仿宋" w:cs="仿宋"/>
          <w:sz w:val="32"/>
          <w:szCs w:val="32"/>
        </w:rPr>
        <w:t>健康。</w:t>
      </w:r>
      <w:r>
        <w:rPr>
          <w:rFonts w:hint="eastAsia" w:ascii="仿宋" w:hAnsi="仿宋" w:eastAsia="仿宋" w:cs="仿宋"/>
          <w:sz w:val="32"/>
          <w:szCs w:val="32"/>
          <w:lang w:eastAsia="zh-CN"/>
        </w:rPr>
        <w:t>虽然</w:t>
      </w:r>
      <w:r>
        <w:rPr>
          <w:rFonts w:hint="eastAsia" w:ascii="仿宋" w:hAnsi="仿宋" w:eastAsia="仿宋" w:cs="仿宋"/>
          <w:sz w:val="32"/>
          <w:szCs w:val="32"/>
        </w:rPr>
        <w:t>农村牧区生活污水</w:t>
      </w:r>
      <w:r>
        <w:rPr>
          <w:rFonts w:hint="eastAsia" w:ascii="仿宋" w:hAnsi="仿宋" w:eastAsia="仿宋" w:cs="仿宋"/>
          <w:sz w:val="32"/>
          <w:szCs w:val="32"/>
          <w:lang w:eastAsia="zh-CN"/>
        </w:rPr>
        <w:t>能够</w:t>
      </w:r>
      <w:r>
        <w:rPr>
          <w:rFonts w:hint="eastAsia" w:ascii="仿宋" w:hAnsi="仿宋" w:eastAsia="仿宋" w:cs="仿宋"/>
          <w:sz w:val="32"/>
          <w:szCs w:val="32"/>
        </w:rPr>
        <w:t>得到有效控制，但仍无法在根本上消除。此外，规划的实施还会使全盟水资源压力进一步加大。随着水资源约束趋紧，农牧产业发展过程中由于对水资源的消耗，导致其与节能减排降耗的矛盾依然存在，全盟水资源承载压力加剧的风险不容忽视。</w:t>
      </w:r>
    </w:p>
    <w:p w14:paraId="4137AA74">
      <w:pPr>
        <w:pStyle w:val="2"/>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Times New Roman"/>
          <w:sz w:val="32"/>
          <w:szCs w:val="32"/>
        </w:rPr>
      </w:pPr>
      <w:r>
        <w:rPr>
          <w:rFonts w:hint="eastAsia" w:ascii="仿宋" w:hAnsi="仿宋" w:eastAsia="仿宋" w:cs="仿宋"/>
          <w:b/>
          <w:bCs/>
          <w:sz w:val="32"/>
          <w:szCs w:val="32"/>
        </w:rPr>
        <w:t>对土壤的影响。</w:t>
      </w:r>
      <w:r>
        <w:rPr>
          <w:rFonts w:hint="eastAsia" w:ascii="仿宋" w:hAnsi="仿宋" w:eastAsia="仿宋" w:cs="仿宋"/>
          <w:sz w:val="32"/>
          <w:szCs w:val="32"/>
        </w:rPr>
        <w:t>未经处理的畜禽粪污施入农田后会出现不完全降解或厌氧腐解，产生</w:t>
      </w:r>
      <w:r>
        <w:rPr>
          <w:rFonts w:hint="eastAsia" w:ascii="仿宋" w:hAnsi="仿宋" w:eastAsia="仿宋" w:cs="Times New Roman"/>
          <w:sz w:val="32"/>
          <w:szCs w:val="32"/>
        </w:rPr>
        <w:t>恶臭物质和亚硝酸盐等有害物质，引起土壤成分和性状发生改变，破坏土壤的基本功能。同时，由于养殖施用抗生素和微量重金属元素，抗生素和微量重金属元素会随着粪污进入周边土壤，富集后造成抗生素和重金属超标，产生土壤污染。此外，规划虽对农药、化肥、地膜的使用做了相关要求，但并不会全面消除农业面源污染，对土壤的污染危害依然存在。</w:t>
      </w:r>
    </w:p>
    <w:p w14:paraId="571DB6CD">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2"/>
        </w:rPr>
      </w:pPr>
      <w:bookmarkStart w:id="519" w:name="_Toc59000604"/>
      <w:bookmarkStart w:id="520" w:name="_Toc58870231"/>
      <w:bookmarkStart w:id="521" w:name="_Toc67985822"/>
      <w:bookmarkStart w:id="522" w:name="_Toc255207481_WPSOffice_Level2"/>
      <w:bookmarkStart w:id="523" w:name="_Toc25787"/>
      <w:bookmarkStart w:id="524" w:name="_Toc22144"/>
      <w:bookmarkStart w:id="525" w:name="_Toc22536"/>
      <w:bookmarkStart w:id="526" w:name="_Toc21259"/>
      <w:r>
        <w:rPr>
          <w:rFonts w:hint="eastAsia" w:ascii="Calibri Light" w:hAnsi="Calibri Light" w:cs="Times New Roman"/>
          <w:b w:val="0"/>
          <w:bCs w:val="0"/>
          <w:sz w:val="32"/>
          <w:szCs w:val="32"/>
        </w:rPr>
        <w:t>第三节 初步评价</w:t>
      </w:r>
      <w:bookmarkEnd w:id="519"/>
      <w:bookmarkEnd w:id="520"/>
      <w:bookmarkEnd w:id="521"/>
      <w:bookmarkEnd w:id="522"/>
      <w:bookmarkEnd w:id="523"/>
      <w:bookmarkEnd w:id="524"/>
      <w:bookmarkEnd w:id="525"/>
      <w:bookmarkEnd w:id="526"/>
    </w:p>
    <w:p w14:paraId="612544EC">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经过对比分析，</w:t>
      </w:r>
      <w:r>
        <w:rPr>
          <w:rFonts w:ascii="仿宋" w:hAnsi="仿宋" w:eastAsia="仿宋" w:cs="Times New Roman"/>
          <w:sz w:val="32"/>
          <w:szCs w:val="32"/>
        </w:rPr>
        <w:t>规划统筹考虑资源环境承载能力、现有产业基础、制约瓶颈和发展潜力，提出了比较科学合理的发展思路、区域布局、重点任务和保障措施。</w:t>
      </w:r>
      <w:r>
        <w:rPr>
          <w:rFonts w:hint="eastAsia" w:ascii="仿宋" w:hAnsi="仿宋" w:eastAsia="仿宋" w:cs="Times New Roman"/>
          <w:sz w:val="32"/>
          <w:szCs w:val="32"/>
        </w:rPr>
        <w:t>总体来看，规划实施对生态环境的影响是有利的，也存在一些不利影响，但多数不利影响都是暂时的、可控的。通过严格执行规划，</w:t>
      </w:r>
      <w:r>
        <w:rPr>
          <w:rFonts w:hint="eastAsia" w:ascii="仿宋" w:hAnsi="仿宋" w:eastAsia="仿宋" w:cs="Times New Roman"/>
          <w:sz w:val="32"/>
          <w:szCs w:val="32"/>
          <w:lang w:eastAsia="zh-CN"/>
        </w:rPr>
        <w:t>落实相关法律法规要求，产生的废气、废水等污染物达标排放，固体废弃物实现循环利用，</w:t>
      </w:r>
      <w:r>
        <w:rPr>
          <w:rFonts w:hint="eastAsia" w:ascii="仿宋" w:hAnsi="仿宋" w:eastAsia="仿宋" w:cs="Times New Roman"/>
          <w:sz w:val="32"/>
          <w:szCs w:val="32"/>
        </w:rPr>
        <w:t>将最大程度减轻</w:t>
      </w:r>
      <w:r>
        <w:rPr>
          <w:rFonts w:hint="eastAsia" w:ascii="仿宋" w:hAnsi="仿宋" w:eastAsia="仿宋" w:cs="Times New Roman"/>
          <w:sz w:val="32"/>
          <w:szCs w:val="32"/>
          <w:lang w:eastAsia="zh-CN"/>
        </w:rPr>
        <w:t>和避免</w:t>
      </w:r>
      <w:r>
        <w:rPr>
          <w:rFonts w:hint="eastAsia" w:ascii="仿宋" w:hAnsi="仿宋" w:eastAsia="仿宋" w:cs="Times New Roman"/>
          <w:sz w:val="32"/>
          <w:szCs w:val="32"/>
        </w:rPr>
        <w:t>农牧业生产对生态环境的不利影响。</w:t>
      </w:r>
    </w:p>
    <w:p w14:paraId="604FD055">
      <w:pPr>
        <w:pStyle w:val="4"/>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Calibri Light" w:hAnsi="Calibri Light" w:cs="Times New Roman"/>
          <w:b w:val="0"/>
          <w:bCs w:val="0"/>
          <w:sz w:val="32"/>
          <w:szCs w:val="32"/>
        </w:rPr>
      </w:pPr>
      <w:bookmarkStart w:id="527" w:name="_Toc1862"/>
      <w:bookmarkStart w:id="528" w:name="_Toc67985823"/>
      <w:bookmarkStart w:id="529" w:name="_Toc4798"/>
      <w:bookmarkStart w:id="530" w:name="_Toc22425"/>
      <w:bookmarkStart w:id="531" w:name="_Toc59000605"/>
      <w:bookmarkStart w:id="532" w:name="_Toc58870232"/>
      <w:bookmarkStart w:id="533" w:name="_Toc1838528168_WPSOffice_Level2"/>
      <w:bookmarkStart w:id="534" w:name="_Toc28710"/>
      <w:r>
        <w:rPr>
          <w:rFonts w:hint="eastAsia" w:ascii="Calibri Light" w:hAnsi="Calibri Light" w:cs="Times New Roman"/>
          <w:b w:val="0"/>
          <w:bCs w:val="0"/>
          <w:sz w:val="32"/>
          <w:szCs w:val="32"/>
        </w:rPr>
        <w:t>第四节 对策措施</w:t>
      </w:r>
      <w:bookmarkEnd w:id="527"/>
      <w:bookmarkEnd w:id="528"/>
      <w:bookmarkEnd w:id="529"/>
      <w:bookmarkEnd w:id="530"/>
      <w:bookmarkEnd w:id="531"/>
      <w:bookmarkEnd w:id="532"/>
      <w:bookmarkEnd w:id="533"/>
      <w:bookmarkEnd w:id="534"/>
    </w:p>
    <w:p w14:paraId="135F3EE7">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bookmarkStart w:id="535" w:name="_Toc59000606"/>
      <w:bookmarkStart w:id="536" w:name="_Toc58870233"/>
      <w:r>
        <w:rPr>
          <w:rFonts w:hint="eastAsia" w:ascii="仿宋" w:hAnsi="仿宋" w:eastAsia="仿宋" w:cs="仿宋"/>
          <w:b/>
          <w:bCs/>
          <w:sz w:val="32"/>
          <w:szCs w:val="32"/>
        </w:rPr>
        <w:t>切断臭气产生途径。</w:t>
      </w:r>
      <w:r>
        <w:rPr>
          <w:rFonts w:hint="eastAsia" w:ascii="仿宋" w:hAnsi="仿宋" w:eastAsia="仿宋" w:cs="仿宋"/>
          <w:sz w:val="32"/>
          <w:szCs w:val="32"/>
        </w:rPr>
        <w:t>通过控制饲养密度、加强舍内通风、采用节水型饮水器、及时清粪、绿化等措施抑制或减少臭气的产生，粪污处理各单元宜采用密闭形式，密闭的粪污处理站</w:t>
      </w:r>
      <w:r>
        <w:rPr>
          <w:rFonts w:hint="eastAsia" w:ascii="仿宋" w:hAnsi="仿宋" w:eastAsia="仿宋" w:cs="仿宋"/>
          <w:sz w:val="32"/>
          <w:szCs w:val="32"/>
          <w:lang w:eastAsia="zh-CN"/>
        </w:rPr>
        <w:t>点</w:t>
      </w:r>
      <w:r>
        <w:rPr>
          <w:rFonts w:hint="eastAsia" w:ascii="仿宋" w:hAnsi="仿宋" w:eastAsia="仿宋" w:cs="仿宋"/>
          <w:sz w:val="32"/>
          <w:szCs w:val="32"/>
        </w:rPr>
        <w:t>宜</w:t>
      </w:r>
      <w:r>
        <w:rPr>
          <w:rFonts w:hint="eastAsia" w:ascii="仿宋" w:hAnsi="仿宋" w:eastAsia="仿宋" w:cs="仿宋"/>
          <w:sz w:val="32"/>
          <w:szCs w:val="32"/>
          <w:lang w:eastAsia="zh-CN"/>
        </w:rPr>
        <w:t>建设</w:t>
      </w:r>
      <w:r>
        <w:rPr>
          <w:rFonts w:hint="eastAsia" w:ascii="仿宋" w:hAnsi="仿宋" w:eastAsia="仿宋" w:cs="仿宋"/>
          <w:sz w:val="32"/>
          <w:szCs w:val="32"/>
        </w:rPr>
        <w:t>恶臭集中处理设施，</w:t>
      </w:r>
      <w:r>
        <w:rPr>
          <w:rFonts w:hint="eastAsia" w:ascii="仿宋" w:hAnsi="仿宋" w:eastAsia="仿宋" w:cs="仿宋"/>
          <w:sz w:val="32"/>
          <w:szCs w:val="32"/>
          <w:lang w:eastAsia="zh-CN"/>
        </w:rPr>
        <w:t>使</w:t>
      </w:r>
      <w:r>
        <w:rPr>
          <w:rFonts w:hint="eastAsia" w:ascii="仿宋" w:hAnsi="仿宋" w:eastAsia="仿宋" w:cs="仿宋"/>
          <w:sz w:val="32"/>
          <w:szCs w:val="32"/>
        </w:rPr>
        <w:t>各类生产过程中产生的臭气集中收集处理后排放，减少恶臭对周围环境的影响，达到《恶臭污染物排放标准》（GB14554）、《畜禽养殖业污染物排放标准》（GB18596）相关排放要求。</w:t>
      </w:r>
    </w:p>
    <w:bookmarkEnd w:id="535"/>
    <w:bookmarkEnd w:id="536"/>
    <w:p w14:paraId="44F6A15B">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加强农牧业节水用水。</w:t>
      </w:r>
      <w:r>
        <w:rPr>
          <w:rFonts w:hint="eastAsia" w:ascii="仿宋" w:hAnsi="仿宋" w:eastAsia="仿宋" w:cs="仿宋"/>
          <w:sz w:val="32"/>
          <w:szCs w:val="32"/>
        </w:rPr>
        <w:t>强化农牧业取水许可制度，对农牧业取用地下水的</w:t>
      </w:r>
      <w:r>
        <w:rPr>
          <w:rFonts w:hint="eastAsia" w:ascii="仿宋" w:hAnsi="仿宋" w:eastAsia="仿宋" w:cs="仿宋"/>
          <w:sz w:val="32"/>
          <w:szCs w:val="32"/>
          <w:lang w:eastAsia="zh-CN"/>
        </w:rPr>
        <w:t>工程</w:t>
      </w:r>
      <w:r>
        <w:rPr>
          <w:rFonts w:hint="eastAsia" w:ascii="仿宋" w:hAnsi="仿宋" w:eastAsia="仿宋" w:cs="仿宋"/>
          <w:sz w:val="32"/>
          <w:szCs w:val="32"/>
        </w:rPr>
        <w:t>项目，依法履行水资源论证和取水许可手续。实行地下水用途管控，严格按照取水用途，实施分质供水，充分配置再生水、合理利用地表水、严格控制使用地下水。加强农牧业节水，深入推进农牧业水价综合改革，把农牧业用水效率提上去、总量省出来。进一步加大水资源保护和水污染防治工作力度。严格依法实施饮用水水源保护区制度，合理确定饮用水水源保护区，严格禁止破坏涵养林和水资源保护设施行为，因地制宜进行水源安全保护、生态修复和水源涵养等工程建设。</w:t>
      </w:r>
    </w:p>
    <w:p w14:paraId="5C16C982">
      <w:pPr>
        <w:pStyle w:val="2"/>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Times New Roman"/>
          <w:sz w:val="32"/>
          <w:szCs w:val="32"/>
        </w:rPr>
      </w:pPr>
      <w:r>
        <w:rPr>
          <w:rFonts w:hint="eastAsia" w:ascii="仿宋" w:hAnsi="仿宋" w:eastAsia="仿宋" w:cs="仿宋"/>
          <w:b/>
          <w:bCs/>
          <w:sz w:val="32"/>
          <w:szCs w:val="32"/>
        </w:rPr>
        <w:t>加大对固体废弃物和土壤污染防治力度。</w:t>
      </w:r>
      <w:r>
        <w:rPr>
          <w:rFonts w:hint="eastAsia" w:ascii="仿宋" w:hAnsi="仿宋" w:eastAsia="仿宋" w:cs="仿宋"/>
          <w:sz w:val="32"/>
          <w:szCs w:val="32"/>
        </w:rPr>
        <w:t>养殖粪污处理方面，继续以集中收集储存点建设、规模养殖场粪污处理设施装备配套、第三方畜禽粪污收集处理机构建设为重点，通过堆积发酵还田还牧、燃料使用、垫料回用、粪肥有机质利用等通用技术模式对畜禽粪污进行综合利</w:t>
      </w:r>
      <w:r>
        <w:rPr>
          <w:rFonts w:hint="eastAsia" w:ascii="仿宋" w:hAnsi="仿宋" w:eastAsia="仿宋" w:cs="Times New Roman"/>
          <w:sz w:val="32"/>
          <w:szCs w:val="32"/>
        </w:rPr>
        <w:t>用，畜禽养殖粪污就地就近消纳，畜禽粪</w:t>
      </w:r>
      <w:r>
        <w:rPr>
          <w:rFonts w:hint="eastAsia" w:ascii="仿宋" w:hAnsi="仿宋" w:eastAsia="仿宋" w:cs="Times New Roman"/>
          <w:sz w:val="32"/>
          <w:szCs w:val="32"/>
          <w:lang w:eastAsia="zh-CN"/>
        </w:rPr>
        <w:t>污</w:t>
      </w:r>
      <w:r>
        <w:rPr>
          <w:rFonts w:hint="eastAsia" w:ascii="仿宋" w:hAnsi="仿宋" w:eastAsia="仿宋" w:cs="Times New Roman"/>
          <w:sz w:val="32"/>
          <w:szCs w:val="32"/>
        </w:rPr>
        <w:t>综合利用率</w:t>
      </w:r>
      <w:r>
        <w:rPr>
          <w:rFonts w:hint="eastAsia" w:ascii="仿宋" w:hAnsi="仿宋" w:eastAsia="仿宋" w:cs="Times New Roman"/>
          <w:sz w:val="32"/>
          <w:szCs w:val="32"/>
          <w:lang w:eastAsia="zh-CN"/>
        </w:rPr>
        <w:t>达到</w:t>
      </w:r>
      <w:r>
        <w:rPr>
          <w:rFonts w:ascii="仿宋" w:hAnsi="仿宋" w:eastAsia="仿宋" w:cs="Times New Roman"/>
          <w:sz w:val="32"/>
          <w:szCs w:val="32"/>
        </w:rPr>
        <w:t>8</w:t>
      </w:r>
      <w:r>
        <w:rPr>
          <w:rFonts w:hint="eastAsia" w:ascii="仿宋" w:hAnsi="仿宋" w:eastAsia="仿宋" w:cs="Times New Roman"/>
          <w:sz w:val="32"/>
          <w:szCs w:val="32"/>
          <w:lang w:val="en-US" w:eastAsia="zh-CN"/>
        </w:rPr>
        <w:t>3</w:t>
      </w:r>
      <w:r>
        <w:rPr>
          <w:rFonts w:ascii="仿宋" w:hAnsi="仿宋" w:eastAsia="仿宋" w:cs="Times New Roman"/>
          <w:sz w:val="32"/>
          <w:szCs w:val="32"/>
        </w:rPr>
        <w:t>%以上。配套建设水肥一体化、</w:t>
      </w:r>
      <w:r>
        <w:rPr>
          <w:rFonts w:hint="eastAsia" w:ascii="仿宋" w:hAnsi="仿宋" w:eastAsia="仿宋" w:cs="Times New Roman"/>
          <w:sz w:val="32"/>
          <w:szCs w:val="32"/>
        </w:rPr>
        <w:t>浅埋滴灌等设施，实现“一控两减三基本”防治目标，通过测土配方施肥技术、精准施肥技术、机械适期适量施肥技术，减少化肥农药使用量，使用低毒、低残留农药，增加有机肥使用量，落实控肥增效、控药减害、控水降耗、控膜提效“四控”行动，实现化肥农药使用量零增长。</w:t>
      </w:r>
      <w:r>
        <w:rPr>
          <w:rFonts w:hint="eastAsia" w:ascii="仿宋" w:hAnsi="仿宋" w:eastAsia="仿宋" w:cs="Times New Roman"/>
          <w:sz w:val="32"/>
          <w:szCs w:val="32"/>
          <w:lang w:eastAsia="zh-CN"/>
        </w:rPr>
        <w:t>对</w:t>
      </w:r>
      <w:r>
        <w:rPr>
          <w:rFonts w:hint="eastAsia" w:ascii="仿宋" w:hAnsi="仿宋" w:eastAsia="仿宋" w:cs="Times New Roman"/>
          <w:sz w:val="32"/>
          <w:szCs w:val="32"/>
        </w:rPr>
        <w:t>农药包装废弃物和废旧农膜开展回收、处理与综合利用。农作物秸秆实现肥料化、饲料化、燃料化、基料化和原料化利用，禁止农作物秸秆等生物质露天焚烧，严禁对区域环境空气质量产生不良影响。</w:t>
      </w:r>
    </w:p>
    <w:p w14:paraId="5D6A9394">
      <w:pPr>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32"/>
          <w:szCs w:val="32"/>
        </w:rPr>
      </w:pPr>
    </w:p>
    <w:p w14:paraId="72753A68">
      <w:pPr>
        <w:pStyle w:val="2"/>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32"/>
          <w:szCs w:val="32"/>
        </w:rPr>
      </w:pPr>
    </w:p>
    <w:p w14:paraId="40EDC210">
      <w:pPr>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32"/>
          <w:szCs w:val="32"/>
        </w:rPr>
      </w:pPr>
    </w:p>
    <w:p w14:paraId="1152CEAF">
      <w:pPr>
        <w:pStyle w:val="2"/>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32"/>
          <w:szCs w:val="32"/>
        </w:rPr>
      </w:pPr>
    </w:p>
    <w:p w14:paraId="7C4011AB">
      <w:pPr>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32"/>
          <w:szCs w:val="32"/>
        </w:rPr>
      </w:pPr>
    </w:p>
    <w:p w14:paraId="4B862097">
      <w:pPr>
        <w:pStyle w:val="2"/>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32"/>
          <w:szCs w:val="32"/>
        </w:rPr>
      </w:pPr>
    </w:p>
    <w:p w14:paraId="0A79ABC6">
      <w:pPr>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32"/>
          <w:szCs w:val="32"/>
        </w:rPr>
      </w:pPr>
    </w:p>
    <w:p w14:paraId="5AE7ABB0">
      <w:pPr>
        <w:pStyle w:val="2"/>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32"/>
          <w:szCs w:val="32"/>
        </w:rPr>
      </w:pPr>
    </w:p>
    <w:p w14:paraId="42C62E90">
      <w:pPr>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32"/>
          <w:szCs w:val="32"/>
        </w:rPr>
      </w:pPr>
    </w:p>
    <w:p w14:paraId="5C61E365">
      <w:pPr>
        <w:pStyle w:val="2"/>
        <w:pageBreakBefore w:val="0"/>
        <w:widowControl w:val="0"/>
        <w:kinsoku/>
        <w:wordWrap/>
        <w:overflowPunct/>
        <w:topLinePunct w:val="0"/>
        <w:autoSpaceDE/>
        <w:autoSpaceDN/>
        <w:bidi w:val="0"/>
        <w:adjustRightInd/>
        <w:snapToGrid/>
        <w:spacing w:line="600" w:lineRule="exact"/>
        <w:textAlignment w:val="auto"/>
        <w:rPr>
          <w:sz w:val="32"/>
          <w:szCs w:val="32"/>
        </w:rPr>
      </w:pPr>
    </w:p>
    <w:p w14:paraId="7C367F92">
      <w:pPr>
        <w:rPr>
          <w:rFonts w:ascii="仿宋" w:hAnsi="仿宋" w:eastAsia="仿宋" w:cs="Times New Roman"/>
        </w:rPr>
      </w:pPr>
    </w:p>
    <w:p w14:paraId="79F92482">
      <w:pPr>
        <w:pStyle w:val="2"/>
        <w:rPr>
          <w:rFonts w:ascii="仿宋" w:hAnsi="仿宋" w:eastAsia="仿宋" w:cs="Times New Roman"/>
        </w:rPr>
      </w:pPr>
    </w:p>
    <w:p w14:paraId="1D79570B">
      <w:pPr>
        <w:rPr>
          <w:rFonts w:ascii="仿宋" w:hAnsi="仿宋" w:eastAsia="仿宋" w:cs="Times New Roman"/>
        </w:rPr>
      </w:pPr>
    </w:p>
    <w:p w14:paraId="5B92B677">
      <w:pPr>
        <w:pStyle w:val="2"/>
        <w:rPr>
          <w:rFonts w:ascii="仿宋" w:hAnsi="仿宋" w:eastAsia="仿宋" w:cs="Times New Roman"/>
        </w:rPr>
      </w:pPr>
    </w:p>
    <w:p w14:paraId="68DAA078">
      <w:pPr>
        <w:rPr>
          <w:rFonts w:ascii="仿宋" w:hAnsi="仿宋" w:eastAsia="仿宋" w:cs="Times New Roman"/>
        </w:rPr>
      </w:pPr>
    </w:p>
    <w:p w14:paraId="199E8C45">
      <w:pPr>
        <w:pStyle w:val="2"/>
        <w:rPr>
          <w:rFonts w:ascii="仿宋" w:hAnsi="仿宋" w:eastAsia="仿宋" w:cs="Times New Roman"/>
        </w:rPr>
      </w:pPr>
    </w:p>
    <w:p w14:paraId="4643FF91">
      <w:pPr>
        <w:rPr>
          <w:rFonts w:ascii="仿宋" w:hAnsi="仿宋" w:eastAsia="仿宋" w:cs="Times New Roman"/>
        </w:rPr>
      </w:pPr>
    </w:p>
    <w:p w14:paraId="195F84EA">
      <w:pPr>
        <w:pStyle w:val="3"/>
        <w:snapToGrid w:val="0"/>
        <w:spacing w:before="312" w:beforeLines="100" w:after="312" w:afterLines="100" w:line="540" w:lineRule="exact"/>
        <w:jc w:val="center"/>
        <w:rPr>
          <w:rFonts w:hint="eastAsia" w:ascii="方正小标宋简体" w:hAnsi="仿宋" w:eastAsia="方正小标宋简体" w:cs="黑体"/>
          <w:b w:val="0"/>
          <w:color w:val="000000" w:themeColor="text1"/>
          <w:sz w:val="32"/>
          <w:szCs w:val="32"/>
        </w:rPr>
      </w:pPr>
      <w:bookmarkStart w:id="537" w:name="_Toc29310"/>
      <w:bookmarkStart w:id="538" w:name="_Toc14423"/>
      <w:bookmarkStart w:id="539" w:name="_Toc6757"/>
      <w:bookmarkStart w:id="540" w:name="_Toc31289"/>
    </w:p>
    <w:p w14:paraId="3D5AD57D">
      <w:pPr>
        <w:pStyle w:val="3"/>
        <w:pageBreakBefore w:val="0"/>
        <w:widowControl w:val="0"/>
        <w:kinsoku/>
        <w:wordWrap/>
        <w:overflowPunct/>
        <w:topLinePunct w:val="0"/>
        <w:autoSpaceDE/>
        <w:autoSpaceDN/>
        <w:bidi w:val="0"/>
        <w:adjustRightInd/>
        <w:snapToGrid w:val="0"/>
        <w:spacing w:before="312" w:beforeLines="100" w:after="312" w:afterLines="100" w:line="600" w:lineRule="exact"/>
        <w:jc w:val="center"/>
        <w:textAlignment w:val="auto"/>
        <w:rPr>
          <w:rFonts w:ascii="方正小标宋简体" w:hAnsi="仿宋" w:eastAsia="方正小标宋简体" w:cs="黑体"/>
          <w:b w:val="0"/>
          <w:color w:val="000000" w:themeColor="text1"/>
          <w:sz w:val="44"/>
          <w:szCs w:val="44"/>
        </w:rPr>
      </w:pPr>
      <w:bookmarkStart w:id="541" w:name="_Toc1369886222_WPSOffice_Level1"/>
      <w:r>
        <w:rPr>
          <w:rFonts w:hint="eastAsia" w:ascii="方正小标宋简体" w:hAnsi="仿宋" w:eastAsia="方正小标宋简体" w:cs="黑体"/>
          <w:b w:val="0"/>
          <w:color w:val="000000" w:themeColor="text1"/>
          <w:sz w:val="44"/>
          <w:szCs w:val="44"/>
        </w:rPr>
        <w:t>第十章 保障机制</w:t>
      </w:r>
      <w:bookmarkEnd w:id="500"/>
      <w:bookmarkEnd w:id="501"/>
      <w:bookmarkEnd w:id="537"/>
      <w:bookmarkEnd w:id="538"/>
      <w:bookmarkEnd w:id="539"/>
      <w:bookmarkEnd w:id="540"/>
      <w:bookmarkEnd w:id="541"/>
    </w:p>
    <w:p w14:paraId="483269DD">
      <w:pPr>
        <w:pStyle w:val="2"/>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cs="Times New Roman"/>
        </w:rPr>
      </w:pPr>
      <w:bookmarkStart w:id="542" w:name="_Toc58870237"/>
      <w:bookmarkStart w:id="543" w:name="_Toc59000610"/>
      <w:bookmarkStart w:id="544" w:name="_Toc57041454"/>
      <w:bookmarkStart w:id="545" w:name="_Toc26829"/>
      <w:bookmarkStart w:id="546" w:name="_Toc21470"/>
      <w:r>
        <w:rPr>
          <w:rFonts w:hint="eastAsia" w:ascii="仿宋" w:hAnsi="仿宋" w:eastAsia="仿宋" w:cs="Times New Roman"/>
          <w:lang w:eastAsia="zh-CN"/>
        </w:rPr>
        <w:t>全盟</w:t>
      </w:r>
      <w:r>
        <w:rPr>
          <w:rFonts w:hint="eastAsia" w:ascii="仿宋" w:hAnsi="仿宋" w:eastAsia="仿宋" w:cs="Times New Roman"/>
        </w:rPr>
        <w:t>各级党委、政府要充分认识“十四五”推进农牧业农村牧区现代化发展</w:t>
      </w:r>
      <w:r>
        <w:rPr>
          <w:rFonts w:hint="eastAsia" w:ascii="仿宋" w:hAnsi="仿宋" w:eastAsia="仿宋" w:cs="Times New Roman"/>
          <w:lang w:eastAsia="zh-CN"/>
        </w:rPr>
        <w:t>任务</w:t>
      </w:r>
      <w:r>
        <w:rPr>
          <w:rFonts w:hint="eastAsia" w:ascii="仿宋" w:hAnsi="仿宋" w:eastAsia="仿宋" w:cs="Times New Roman"/>
        </w:rPr>
        <w:t>的重要性和艰巨性，切实把“三农三牧”工作作为重中之重，加强组织领导，完善政策措施，健全法治保障，严格考核评估，确保“十四五”规划各项目标任务如期实现。</w:t>
      </w:r>
    </w:p>
    <w:p w14:paraId="1E18B2C7">
      <w:pPr>
        <w:pStyle w:val="4"/>
        <w:pageBreakBefore w:val="0"/>
        <w:widowControl w:val="0"/>
        <w:kinsoku/>
        <w:wordWrap/>
        <w:overflowPunct/>
        <w:topLinePunct w:val="0"/>
        <w:autoSpaceDE/>
        <w:autoSpaceDN/>
        <w:bidi w:val="0"/>
        <w:adjustRightInd/>
        <w:spacing w:before="156" w:beforeLines="50" w:after="156" w:afterLines="50" w:line="600" w:lineRule="exact"/>
        <w:textAlignment w:val="auto"/>
        <w:rPr>
          <w:rFonts w:ascii="Calibri Light" w:hAnsi="Calibri Light" w:cs="Times New Roman"/>
          <w:b w:val="0"/>
          <w:bCs w:val="0"/>
          <w:szCs w:val="36"/>
        </w:rPr>
      </w:pPr>
      <w:bookmarkStart w:id="547" w:name="_Toc1506407809_WPSOffice_Level2"/>
      <w:bookmarkStart w:id="548" w:name="_Toc11293"/>
      <w:bookmarkStart w:id="549" w:name="_Toc21591"/>
      <w:bookmarkStart w:id="550" w:name="_Toc29254"/>
      <w:bookmarkStart w:id="551" w:name="_Toc20927"/>
      <w:r>
        <w:rPr>
          <w:rFonts w:hint="eastAsia" w:ascii="Calibri Light" w:hAnsi="Calibri Light" w:cs="Times New Roman"/>
          <w:b w:val="0"/>
          <w:bCs w:val="0"/>
          <w:szCs w:val="36"/>
        </w:rPr>
        <w:t>第一节 加强组织领导</w:t>
      </w:r>
      <w:bookmarkEnd w:id="542"/>
      <w:bookmarkEnd w:id="543"/>
      <w:bookmarkEnd w:id="544"/>
      <w:bookmarkEnd w:id="545"/>
      <w:bookmarkEnd w:id="546"/>
      <w:bookmarkEnd w:id="547"/>
      <w:bookmarkEnd w:id="548"/>
      <w:bookmarkEnd w:id="549"/>
      <w:bookmarkEnd w:id="550"/>
      <w:bookmarkEnd w:id="551"/>
    </w:p>
    <w:p w14:paraId="02923C7B">
      <w:pPr>
        <w:pageBreakBefore w:val="0"/>
        <w:widowControl w:val="0"/>
        <w:numPr>
          <w:ilvl w:val="255"/>
          <w:numId w:val="0"/>
        </w:numPr>
        <w:kinsoku/>
        <w:wordWrap/>
        <w:overflowPunct/>
        <w:topLinePunct w:val="0"/>
        <w:autoSpaceDE/>
        <w:autoSpaceDN/>
        <w:bidi w:val="0"/>
        <w:adjustRightInd/>
        <w:spacing w:line="600" w:lineRule="exact"/>
        <w:ind w:firstLine="640" w:firstLineChars="200"/>
        <w:textAlignment w:val="auto"/>
        <w:rPr>
          <w:rFonts w:ascii="仿宋" w:hAnsi="仿宋" w:eastAsia="仿宋" w:cstheme="minorBidi"/>
          <w:sz w:val="32"/>
          <w:szCs w:val="32"/>
        </w:rPr>
      </w:pPr>
      <w:r>
        <w:rPr>
          <w:rFonts w:hint="eastAsia" w:ascii="仿宋" w:hAnsi="仿宋" w:eastAsia="仿宋" w:cstheme="minorBidi"/>
          <w:sz w:val="32"/>
          <w:szCs w:val="32"/>
        </w:rPr>
        <w:t>加强党对“三农三牧”工作的全面领导，健全党委统一领导、政府负责、部门统筹协调的工作运行机制，压实各地区、各部门主体责任，及时协调解决规划实施过程中涉及的重大问题。强化四级书记抓乡村振兴工作体系，旗县市（区）党委书记要当好“一线总指挥”，做到组织到位、精力到位、措施到位。各旗县市（区）要强化责任担当，紧紧围绕</w:t>
      </w:r>
      <w:r>
        <w:rPr>
          <w:rFonts w:hint="eastAsia" w:ascii="仿宋" w:hAnsi="仿宋" w:eastAsia="仿宋" w:cstheme="minorBidi"/>
          <w:sz w:val="32"/>
          <w:szCs w:val="32"/>
          <w:lang w:eastAsia="zh-CN"/>
        </w:rPr>
        <w:t>规划</w:t>
      </w:r>
      <w:r>
        <w:rPr>
          <w:rFonts w:hint="eastAsia" w:ascii="仿宋" w:hAnsi="仿宋" w:eastAsia="仿宋" w:cstheme="minorBidi"/>
          <w:sz w:val="32"/>
          <w:szCs w:val="32"/>
        </w:rPr>
        <w:t>指导思想、重点任务和重大工程，</w:t>
      </w:r>
      <w:r>
        <w:rPr>
          <w:rFonts w:hint="eastAsia" w:ascii="仿宋" w:hAnsi="仿宋" w:eastAsia="仿宋" w:cstheme="minorBidi"/>
          <w:sz w:val="32"/>
          <w:szCs w:val="32"/>
          <w:lang w:eastAsia="zh-CN"/>
        </w:rPr>
        <w:t>制定本地区规划或实施方案，</w:t>
      </w:r>
      <w:r>
        <w:rPr>
          <w:rFonts w:hint="eastAsia" w:ascii="仿宋" w:hAnsi="仿宋" w:eastAsia="仿宋" w:cstheme="minorBidi"/>
          <w:sz w:val="32"/>
          <w:szCs w:val="32"/>
        </w:rPr>
        <w:t>统筹研究和组织实施“三农三牧”各项工作，做到上下联动、相互衔接、集中攻坚。各部门要立足职能职责，</w:t>
      </w:r>
      <w:r>
        <w:rPr>
          <w:rFonts w:hint="eastAsia" w:ascii="仿宋" w:hAnsi="仿宋" w:eastAsia="仿宋" w:cstheme="minorBidi"/>
          <w:sz w:val="32"/>
          <w:szCs w:val="32"/>
          <w:lang w:eastAsia="zh-CN"/>
        </w:rPr>
        <w:t>认真贯彻</w:t>
      </w:r>
      <w:r>
        <w:rPr>
          <w:rFonts w:hint="eastAsia" w:ascii="仿宋" w:hAnsi="仿宋" w:eastAsia="仿宋" w:cstheme="minorBidi"/>
          <w:sz w:val="32"/>
          <w:szCs w:val="32"/>
        </w:rPr>
        <w:t>落实相应政策</w:t>
      </w:r>
      <w:r>
        <w:rPr>
          <w:rFonts w:hint="eastAsia" w:ascii="仿宋" w:hAnsi="仿宋" w:eastAsia="仿宋" w:cstheme="minorBidi"/>
          <w:sz w:val="32"/>
          <w:szCs w:val="32"/>
          <w:lang w:eastAsia="zh-CN"/>
        </w:rPr>
        <w:t>措施</w:t>
      </w:r>
      <w:r>
        <w:rPr>
          <w:rFonts w:hint="eastAsia" w:ascii="仿宋" w:hAnsi="仿宋" w:eastAsia="仿宋" w:cstheme="minorBidi"/>
          <w:sz w:val="32"/>
          <w:szCs w:val="32"/>
        </w:rPr>
        <w:t>，形成农牧业农村牧区现代化建设的强大合力，协同推进规划实施。</w:t>
      </w:r>
    </w:p>
    <w:p w14:paraId="25887BC8">
      <w:pPr>
        <w:pStyle w:val="4"/>
        <w:pageBreakBefore w:val="0"/>
        <w:widowControl w:val="0"/>
        <w:kinsoku/>
        <w:wordWrap/>
        <w:overflowPunct/>
        <w:topLinePunct w:val="0"/>
        <w:autoSpaceDE/>
        <w:autoSpaceDN/>
        <w:bidi w:val="0"/>
        <w:adjustRightInd/>
        <w:spacing w:before="156" w:beforeLines="50" w:after="156" w:afterLines="50" w:line="600" w:lineRule="exact"/>
        <w:textAlignment w:val="auto"/>
        <w:rPr>
          <w:rFonts w:ascii="Calibri Light" w:hAnsi="Calibri Light" w:cs="Times New Roman"/>
          <w:b w:val="0"/>
          <w:bCs w:val="0"/>
          <w:szCs w:val="36"/>
        </w:rPr>
      </w:pPr>
      <w:bookmarkStart w:id="552" w:name="_Toc58870238"/>
      <w:bookmarkStart w:id="553" w:name="_Toc59000611"/>
      <w:bookmarkStart w:id="554" w:name="_Toc29182"/>
      <w:bookmarkStart w:id="555" w:name="_Toc5336"/>
      <w:bookmarkStart w:id="556" w:name="_Toc20019"/>
      <w:bookmarkStart w:id="557" w:name="_Toc23392"/>
      <w:bookmarkStart w:id="558" w:name="_Toc131061107_WPSOffice_Level2"/>
      <w:r>
        <w:rPr>
          <w:rFonts w:hint="eastAsia" w:ascii="Calibri Light" w:hAnsi="Calibri Light" w:cs="Times New Roman"/>
          <w:b w:val="0"/>
          <w:bCs w:val="0"/>
          <w:szCs w:val="36"/>
        </w:rPr>
        <w:t>第二节 加大政策</w:t>
      </w:r>
      <w:bookmarkEnd w:id="552"/>
      <w:bookmarkEnd w:id="553"/>
      <w:r>
        <w:rPr>
          <w:rFonts w:hint="eastAsia" w:ascii="Calibri Light" w:hAnsi="Calibri Light" w:cs="Times New Roman"/>
          <w:b w:val="0"/>
          <w:bCs w:val="0"/>
          <w:szCs w:val="36"/>
        </w:rPr>
        <w:t>支持</w:t>
      </w:r>
      <w:bookmarkEnd w:id="554"/>
      <w:bookmarkEnd w:id="555"/>
      <w:bookmarkEnd w:id="556"/>
      <w:bookmarkEnd w:id="557"/>
      <w:bookmarkEnd w:id="558"/>
    </w:p>
    <w:p w14:paraId="2D45C0EB">
      <w:pPr>
        <w:pageBreakBefore w:val="0"/>
        <w:widowControl w:val="0"/>
        <w:numPr>
          <w:ilvl w:val="255"/>
          <w:numId w:val="0"/>
        </w:numPr>
        <w:kinsoku/>
        <w:wordWrap/>
        <w:overflowPunct/>
        <w:topLinePunct w:val="0"/>
        <w:autoSpaceDE/>
        <w:autoSpaceDN/>
        <w:bidi w:val="0"/>
        <w:adjustRightInd/>
        <w:spacing w:line="600" w:lineRule="exact"/>
        <w:ind w:firstLine="640" w:firstLineChars="200"/>
        <w:textAlignment w:val="auto"/>
        <w:rPr>
          <w:rFonts w:ascii="仿宋" w:hAnsi="仿宋" w:eastAsia="仿宋" w:cstheme="minorBidi"/>
          <w:sz w:val="32"/>
          <w:szCs w:val="32"/>
        </w:rPr>
      </w:pPr>
      <w:r>
        <w:rPr>
          <w:rFonts w:hint="eastAsia" w:ascii="仿宋" w:hAnsi="仿宋" w:eastAsia="仿宋" w:cstheme="minorBidi"/>
          <w:sz w:val="32"/>
          <w:szCs w:val="32"/>
        </w:rPr>
        <w:t>健全财政投入保障机制，继续把农牧业农村牧区作为一般公共预算优先保障领域，推动公共财政资金更大力度向“三农三牧”倾斜，确保财政投入与农牧业农村牧区发展目标任务相适应；优化财政供给结构，加大资金整合，增加旗县市（区）资金统筹空间，提高涉农涉牧资金使用效率，努力补齐“三农三牧”领域短板弱项。加强金融支持力度，采取产业基金、融资担保贷款、风险补偿资金、贷款贴息等方式，运用“政府+银行+担保+保险”的融资合作和风险分担机制，吸引带动金融资本、产业资本和社会资本支持农牧业农村牧区高质量发展；加强农村牧区信用环境建设，推动农村牧区中小金融机构坚守服务定位，创新金融产品，加大金融支持力度；鼓励金融机构扩大授信规模，延长贷款期限，开发适合的贷款品种，支持农牧经营主体固定资产投资和农畜产品生产收购。强化土地政策支持，保障农村牧区重点产业、项目建设和招商引资用地需求，把招商引资企业直接用于种养业设施用地纳入农用地管理。</w:t>
      </w:r>
    </w:p>
    <w:p w14:paraId="66B6CA56">
      <w:pPr>
        <w:pStyle w:val="4"/>
        <w:pageBreakBefore w:val="0"/>
        <w:widowControl w:val="0"/>
        <w:kinsoku/>
        <w:wordWrap/>
        <w:overflowPunct/>
        <w:topLinePunct w:val="0"/>
        <w:autoSpaceDE/>
        <w:autoSpaceDN/>
        <w:bidi w:val="0"/>
        <w:adjustRightInd/>
        <w:spacing w:before="156" w:beforeLines="50" w:after="156" w:afterLines="50" w:line="600" w:lineRule="exact"/>
        <w:textAlignment w:val="auto"/>
        <w:rPr>
          <w:rFonts w:ascii="Calibri Light" w:hAnsi="Calibri Light" w:cs="Times New Roman"/>
          <w:b w:val="0"/>
          <w:bCs w:val="0"/>
          <w:szCs w:val="36"/>
        </w:rPr>
      </w:pPr>
      <w:bookmarkStart w:id="559" w:name="_Toc27150"/>
      <w:bookmarkStart w:id="560" w:name="_Toc7530"/>
      <w:bookmarkStart w:id="561" w:name="_Toc8098"/>
      <w:bookmarkStart w:id="562" w:name="_Toc21686"/>
      <w:bookmarkStart w:id="563" w:name="_Toc1819215166_WPSOffice_Level2"/>
      <w:bookmarkStart w:id="564" w:name="_Toc18808"/>
      <w:bookmarkStart w:id="565" w:name="_Toc57041457"/>
      <w:bookmarkStart w:id="566" w:name="_Toc59000613"/>
      <w:bookmarkStart w:id="567" w:name="_Toc28940"/>
      <w:bookmarkStart w:id="568" w:name="_Toc58870240"/>
      <w:r>
        <w:rPr>
          <w:rFonts w:hint="eastAsia" w:ascii="Calibri Light" w:hAnsi="Calibri Light" w:cs="Times New Roman"/>
          <w:b w:val="0"/>
          <w:bCs w:val="0"/>
          <w:szCs w:val="36"/>
        </w:rPr>
        <w:t>第三节 强化法制保障</w:t>
      </w:r>
      <w:bookmarkEnd w:id="559"/>
      <w:bookmarkEnd w:id="560"/>
      <w:bookmarkEnd w:id="561"/>
      <w:bookmarkEnd w:id="562"/>
      <w:bookmarkEnd w:id="563"/>
    </w:p>
    <w:p w14:paraId="29799828">
      <w:pPr>
        <w:pageBreakBefore w:val="0"/>
        <w:widowControl w:val="0"/>
        <w:numPr>
          <w:ilvl w:val="255"/>
          <w:numId w:val="0"/>
        </w:numPr>
        <w:kinsoku/>
        <w:wordWrap/>
        <w:overflowPunct/>
        <w:topLinePunct w:val="0"/>
        <w:autoSpaceDE/>
        <w:autoSpaceDN/>
        <w:bidi w:val="0"/>
        <w:adjustRightInd/>
        <w:spacing w:line="600" w:lineRule="exact"/>
        <w:ind w:firstLine="640" w:firstLineChars="200"/>
        <w:textAlignment w:val="auto"/>
        <w:rPr>
          <w:rFonts w:ascii="仿宋" w:hAnsi="仿宋" w:eastAsia="仿宋" w:cstheme="minorBidi"/>
          <w:sz w:val="32"/>
          <w:szCs w:val="32"/>
        </w:rPr>
      </w:pPr>
      <w:r>
        <w:rPr>
          <w:rFonts w:hint="eastAsia" w:ascii="仿宋" w:hAnsi="仿宋" w:eastAsia="仿宋" w:cstheme="minorBidi"/>
          <w:sz w:val="32"/>
          <w:szCs w:val="32"/>
        </w:rPr>
        <w:t>深入推进实施《中华人民共和国乡村振兴促进法》，坚持依法治农、依法护农、依法兴农，发挥法治对农牧业高质量发展的支撑作用、对农村牧区改革的引领作用。大力优化营商环境，</w:t>
      </w:r>
      <w:r>
        <w:rPr>
          <w:rFonts w:hint="eastAsia" w:ascii="仿宋" w:hAnsi="仿宋" w:eastAsia="仿宋" w:cstheme="minorBidi"/>
          <w:sz w:val="32"/>
          <w:szCs w:val="32"/>
          <w:lang w:eastAsia="zh-CN"/>
        </w:rPr>
        <w:t>深化</w:t>
      </w:r>
      <w:r>
        <w:rPr>
          <w:rFonts w:hint="eastAsia" w:ascii="仿宋" w:hAnsi="仿宋" w:eastAsia="仿宋" w:cstheme="minorBidi"/>
          <w:sz w:val="32"/>
          <w:szCs w:val="32"/>
        </w:rPr>
        <w:t>“放管服”改革，对权责清单实行动态管理，推进审批服务标准化、规范化、便利化。</w:t>
      </w:r>
      <w:r>
        <w:rPr>
          <w:rFonts w:hint="eastAsia" w:ascii="仿宋" w:hAnsi="仿宋" w:eastAsia="仿宋" w:cstheme="minorBidi"/>
          <w:sz w:val="32"/>
          <w:szCs w:val="32"/>
          <w:lang w:eastAsia="zh-CN"/>
        </w:rPr>
        <w:t>落实</w:t>
      </w:r>
      <w:r>
        <w:rPr>
          <w:rFonts w:hint="eastAsia" w:ascii="仿宋" w:hAnsi="仿宋" w:eastAsia="仿宋" w:cstheme="minorBidi"/>
          <w:sz w:val="32"/>
          <w:szCs w:val="32"/>
        </w:rPr>
        <w:t>“双随机</w:t>
      </w:r>
      <w:r>
        <w:rPr>
          <w:rFonts w:hint="eastAsia" w:ascii="仿宋" w:hAnsi="仿宋" w:eastAsia="仿宋" w:cstheme="minorBidi"/>
          <w:sz w:val="32"/>
          <w:szCs w:val="32"/>
          <w:lang w:eastAsia="zh-CN"/>
        </w:rPr>
        <w:t>、</w:t>
      </w:r>
      <w:r>
        <w:rPr>
          <w:rFonts w:hint="eastAsia" w:ascii="仿宋" w:hAnsi="仿宋" w:eastAsia="仿宋" w:cstheme="minorBidi"/>
          <w:sz w:val="32"/>
          <w:szCs w:val="32"/>
        </w:rPr>
        <w:t>一公开”</w:t>
      </w:r>
      <w:r>
        <w:rPr>
          <w:rFonts w:hint="eastAsia" w:ascii="仿宋" w:hAnsi="仿宋" w:eastAsia="仿宋" w:cstheme="minorBidi"/>
          <w:sz w:val="32"/>
          <w:szCs w:val="32"/>
          <w:lang w:eastAsia="zh-CN"/>
        </w:rPr>
        <w:t>制度</w:t>
      </w:r>
      <w:r>
        <w:rPr>
          <w:rFonts w:hint="eastAsia" w:ascii="仿宋" w:hAnsi="仿宋" w:eastAsia="仿宋" w:cstheme="minorBidi"/>
          <w:sz w:val="32"/>
          <w:szCs w:val="32"/>
        </w:rPr>
        <w:t>，加强事中事后监管，提高监管执法规范性和透明度。深化农牧业综合行政执法改革，实施农牧业综合行政执法能力提升行动，强化执法保障。对重大</w:t>
      </w:r>
      <w:r>
        <w:rPr>
          <w:rFonts w:hint="eastAsia" w:ascii="仿宋" w:hAnsi="仿宋" w:eastAsia="仿宋" w:cstheme="minorBidi"/>
          <w:sz w:val="32"/>
          <w:szCs w:val="32"/>
          <w:lang w:eastAsia="zh-CN"/>
        </w:rPr>
        <w:t>行政</w:t>
      </w:r>
      <w:r>
        <w:rPr>
          <w:rFonts w:hint="eastAsia" w:ascii="仿宋" w:hAnsi="仿宋" w:eastAsia="仿宋" w:cstheme="minorBidi"/>
          <w:sz w:val="32"/>
          <w:szCs w:val="32"/>
        </w:rPr>
        <w:t>执法决定进行合法性审查，强化农牧业行政执法监督。</w:t>
      </w:r>
      <w:r>
        <w:rPr>
          <w:rFonts w:hint="eastAsia" w:ascii="仿宋" w:hAnsi="仿宋" w:eastAsia="仿宋" w:cstheme="minorBidi"/>
          <w:sz w:val="32"/>
          <w:szCs w:val="32"/>
          <w:lang w:eastAsia="zh-CN"/>
        </w:rPr>
        <w:t>加强对习近平法治思想、</w:t>
      </w:r>
      <w:r>
        <w:rPr>
          <w:rFonts w:hint="eastAsia" w:ascii="仿宋" w:hAnsi="仿宋" w:eastAsia="仿宋" w:cstheme="minorBidi"/>
          <w:sz w:val="32"/>
          <w:szCs w:val="32"/>
        </w:rPr>
        <w:t>宪法</w:t>
      </w:r>
      <w:r>
        <w:rPr>
          <w:rFonts w:hint="eastAsia" w:ascii="仿宋" w:hAnsi="仿宋" w:eastAsia="仿宋" w:cstheme="minorBidi"/>
          <w:sz w:val="32"/>
          <w:szCs w:val="32"/>
          <w:lang w:eastAsia="zh-CN"/>
        </w:rPr>
        <w:t>、民法典及</w:t>
      </w:r>
      <w:r>
        <w:rPr>
          <w:rFonts w:hint="eastAsia" w:ascii="仿宋" w:hAnsi="仿宋" w:eastAsia="仿宋" w:cstheme="minorBidi"/>
          <w:sz w:val="32"/>
          <w:szCs w:val="32"/>
        </w:rPr>
        <w:t>农牧业</w:t>
      </w:r>
      <w:r>
        <w:rPr>
          <w:rFonts w:hint="eastAsia" w:ascii="仿宋" w:hAnsi="仿宋" w:eastAsia="仿宋" w:cstheme="minorBidi"/>
          <w:sz w:val="32"/>
          <w:szCs w:val="32"/>
          <w:lang w:eastAsia="zh-CN"/>
        </w:rPr>
        <w:t>农村牧区</w:t>
      </w:r>
      <w:r>
        <w:rPr>
          <w:rFonts w:hint="eastAsia" w:ascii="仿宋" w:hAnsi="仿宋" w:eastAsia="仿宋" w:cstheme="minorBidi"/>
          <w:sz w:val="32"/>
          <w:szCs w:val="32"/>
        </w:rPr>
        <w:t>相关法律法规</w:t>
      </w:r>
      <w:r>
        <w:rPr>
          <w:rFonts w:hint="eastAsia" w:ascii="仿宋" w:hAnsi="仿宋" w:eastAsia="仿宋" w:cstheme="minorBidi"/>
          <w:sz w:val="32"/>
          <w:szCs w:val="32"/>
          <w:lang w:eastAsia="zh-CN"/>
        </w:rPr>
        <w:t>的</w:t>
      </w:r>
      <w:r>
        <w:rPr>
          <w:rFonts w:hint="eastAsia" w:ascii="仿宋" w:hAnsi="仿宋" w:eastAsia="仿宋" w:cstheme="minorBidi"/>
          <w:sz w:val="32"/>
          <w:szCs w:val="32"/>
        </w:rPr>
        <w:t>学习</w:t>
      </w:r>
      <w:r>
        <w:rPr>
          <w:rFonts w:hint="eastAsia" w:ascii="仿宋" w:hAnsi="仿宋" w:eastAsia="仿宋" w:cstheme="minorBidi"/>
          <w:sz w:val="32"/>
          <w:szCs w:val="32"/>
          <w:lang w:eastAsia="zh-CN"/>
        </w:rPr>
        <w:t>贯彻</w:t>
      </w:r>
      <w:r>
        <w:rPr>
          <w:rFonts w:hint="eastAsia" w:ascii="仿宋" w:hAnsi="仿宋" w:eastAsia="仿宋" w:cstheme="minorBidi"/>
          <w:sz w:val="32"/>
          <w:szCs w:val="32"/>
        </w:rPr>
        <w:t>，全面落实“谁执法、谁普法”责任制，制定普法责任清单，把法治教育作为干部教育培训重点内容，通过集体学法、法律顾问讲授、案例分析和法律知识测试等多种方式，不断提升依法行政水平。</w:t>
      </w:r>
    </w:p>
    <w:p w14:paraId="265A94CF">
      <w:pPr>
        <w:pStyle w:val="4"/>
        <w:pageBreakBefore w:val="0"/>
        <w:widowControl w:val="0"/>
        <w:kinsoku/>
        <w:wordWrap/>
        <w:overflowPunct/>
        <w:topLinePunct w:val="0"/>
        <w:autoSpaceDE/>
        <w:autoSpaceDN/>
        <w:bidi w:val="0"/>
        <w:adjustRightInd/>
        <w:spacing w:before="156" w:beforeLines="50" w:after="156" w:afterLines="50" w:line="600" w:lineRule="exact"/>
        <w:textAlignment w:val="auto"/>
        <w:rPr>
          <w:rFonts w:ascii="Calibri Light" w:hAnsi="Calibri Light" w:cs="Times New Roman"/>
          <w:b w:val="0"/>
          <w:bCs w:val="0"/>
          <w:szCs w:val="36"/>
        </w:rPr>
      </w:pPr>
      <w:bookmarkStart w:id="569" w:name="_Toc18269"/>
      <w:bookmarkStart w:id="570" w:name="_Toc517717901_WPSOffice_Level2"/>
      <w:bookmarkStart w:id="571" w:name="_Toc32507"/>
      <w:bookmarkStart w:id="572" w:name="_Toc27598"/>
      <w:bookmarkStart w:id="573" w:name="_Toc14610"/>
      <w:r>
        <w:rPr>
          <w:rFonts w:hint="eastAsia" w:ascii="Calibri Light" w:hAnsi="Calibri Light" w:cs="Times New Roman"/>
          <w:b w:val="0"/>
          <w:bCs w:val="0"/>
          <w:szCs w:val="36"/>
        </w:rPr>
        <w:t xml:space="preserve">第四节 </w:t>
      </w:r>
      <w:bookmarkEnd w:id="564"/>
      <w:r>
        <w:rPr>
          <w:rFonts w:hint="eastAsia" w:ascii="Calibri Light" w:hAnsi="Calibri Light" w:cs="Times New Roman"/>
          <w:b w:val="0"/>
          <w:bCs w:val="0"/>
          <w:szCs w:val="36"/>
        </w:rPr>
        <w:t>严格评估考核</w:t>
      </w:r>
      <w:bookmarkEnd w:id="565"/>
      <w:bookmarkEnd w:id="566"/>
      <w:bookmarkEnd w:id="567"/>
      <w:bookmarkEnd w:id="568"/>
      <w:bookmarkEnd w:id="569"/>
      <w:bookmarkEnd w:id="570"/>
      <w:bookmarkEnd w:id="571"/>
      <w:bookmarkEnd w:id="572"/>
      <w:bookmarkEnd w:id="573"/>
    </w:p>
    <w:p w14:paraId="7D41E352">
      <w:pPr>
        <w:pageBreakBefore w:val="0"/>
        <w:widowControl w:val="0"/>
        <w:numPr>
          <w:ilvl w:val="255"/>
          <w:numId w:val="0"/>
        </w:numPr>
        <w:kinsoku/>
        <w:wordWrap/>
        <w:overflowPunct/>
        <w:topLinePunct w:val="0"/>
        <w:autoSpaceDE/>
        <w:autoSpaceDN/>
        <w:bidi w:val="0"/>
        <w:adjustRightInd/>
        <w:spacing w:line="600" w:lineRule="exact"/>
        <w:ind w:firstLine="640" w:firstLineChars="200"/>
        <w:textAlignment w:val="auto"/>
        <w:rPr>
          <w:rFonts w:ascii="仿宋" w:hAnsi="仿宋" w:eastAsia="仿宋" w:cstheme="minorBidi"/>
          <w:sz w:val="32"/>
          <w:szCs w:val="32"/>
        </w:rPr>
      </w:pPr>
      <w:r>
        <w:rPr>
          <w:rFonts w:hint="eastAsia" w:ascii="仿宋" w:hAnsi="仿宋" w:eastAsia="仿宋" w:cstheme="minorBidi"/>
          <w:sz w:val="32"/>
          <w:szCs w:val="32"/>
        </w:rPr>
        <w:t>建立规划实施督促检查和评价机制，加强对规划约束性指标和主要预期性指标完成情况的跟踪监测，开展规划落实情况评估，</w:t>
      </w:r>
      <w:r>
        <w:rPr>
          <w:rFonts w:hint="eastAsia" w:ascii="仿宋" w:hAnsi="仿宋" w:eastAsia="仿宋" w:cstheme="minorBidi"/>
          <w:sz w:val="32"/>
          <w:szCs w:val="32"/>
          <w:lang w:eastAsia="zh-CN"/>
        </w:rPr>
        <w:t>开展</w:t>
      </w:r>
      <w:r>
        <w:rPr>
          <w:rFonts w:hint="eastAsia" w:ascii="仿宋" w:hAnsi="仿宋" w:eastAsia="仿宋" w:cstheme="minorBidi"/>
          <w:sz w:val="32"/>
          <w:szCs w:val="32"/>
        </w:rPr>
        <w:t>年度监测、中期评估和终期总结工作，及时发现规划实施存在的问题，研究提出针对性措施建议。建立规划实施考核机制，对于规划中确定的农牧业农村牧区现代化发展重大政策、重点工程项目和重要改革任务，要落实责任主体和进度要求，把工作成效列入年度绩效考核内容，加大绩效考核力度，强化考核结果应用。</w:t>
      </w:r>
    </w:p>
    <w:p w14:paraId="799791AF">
      <w:pPr>
        <w:pageBreakBefore w:val="0"/>
        <w:widowControl w:val="0"/>
        <w:numPr>
          <w:ilvl w:val="255"/>
          <w:numId w:val="0"/>
        </w:numPr>
        <w:kinsoku/>
        <w:wordWrap/>
        <w:overflowPunct/>
        <w:topLinePunct w:val="0"/>
        <w:autoSpaceDE/>
        <w:autoSpaceDN/>
        <w:bidi w:val="0"/>
        <w:adjustRightInd/>
        <w:spacing w:line="600" w:lineRule="exact"/>
        <w:ind w:firstLine="640" w:firstLineChars="200"/>
        <w:textAlignment w:val="auto"/>
        <w:rPr>
          <w:rFonts w:ascii="仿宋" w:hAnsi="仿宋" w:eastAsia="仿宋" w:cstheme="minorBidi"/>
          <w:sz w:val="32"/>
          <w:szCs w:val="32"/>
        </w:rPr>
      </w:pPr>
    </w:p>
    <w:p w14:paraId="498F5848">
      <w:pPr>
        <w:pStyle w:val="2"/>
        <w:pageBreakBefore w:val="0"/>
        <w:widowControl w:val="0"/>
        <w:kinsoku/>
        <w:wordWrap/>
        <w:overflowPunct/>
        <w:topLinePunct w:val="0"/>
        <w:autoSpaceDE/>
        <w:autoSpaceDN/>
        <w:bidi w:val="0"/>
        <w:adjustRightInd/>
        <w:spacing w:line="600" w:lineRule="exact"/>
        <w:textAlignment w:val="auto"/>
      </w:pPr>
    </w:p>
    <w:p w14:paraId="723D5102">
      <w:pPr>
        <w:pStyle w:val="2"/>
        <w:pageBreakBefore w:val="0"/>
        <w:widowControl w:val="0"/>
        <w:kinsoku/>
        <w:wordWrap/>
        <w:overflowPunct/>
        <w:topLinePunct w:val="0"/>
        <w:autoSpaceDE/>
        <w:autoSpaceDN/>
        <w:bidi w:val="0"/>
        <w:adjustRightInd/>
        <w:spacing w:line="600" w:lineRule="exact"/>
        <w:textAlignment w:val="auto"/>
      </w:pPr>
    </w:p>
    <w:sectPr>
      <w:footerReference r:id="rId7" w:type="default"/>
      <w:pgSz w:w="11900" w:h="16840"/>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imes New Roman (正文 CS 字体)">
    <w:altName w:val="Times New Roman"/>
    <w:panose1 w:val="020206030504050203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Times New Roman (标题 CS)">
    <w:altName w:val="宋体"/>
    <w:panose1 w:val="020206030504050203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方正粗宋简体">
    <w:altName w:val="宋体"/>
    <w:panose1 w:val="020B0604020202020204"/>
    <w:charset w:val="86"/>
    <w:family w:val="script"/>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96B4B">
    <w:pPr>
      <w:pStyle w:val="15"/>
      <w:framePr w:wrap="around" w:vAnchor="text" w:hAnchor="margin" w:xAlign="center" w:y="1"/>
      <w:rPr>
        <w:rStyle w:val="29"/>
      </w:rPr>
    </w:pPr>
    <w:r>
      <w:rPr>
        <w:rStyle w:val="29"/>
      </w:rPr>
      <w:fldChar w:fldCharType="begin"/>
    </w:r>
    <w:r>
      <w:rPr>
        <w:rStyle w:val="29"/>
      </w:rPr>
      <w:instrText xml:space="preserve"> PAGE </w:instrText>
    </w:r>
    <w:r>
      <w:rPr>
        <w:rStyle w:val="29"/>
      </w:rPr>
      <w:fldChar w:fldCharType="separate"/>
    </w:r>
    <w:r>
      <w:rPr>
        <w:rStyle w:val="29"/>
      </w:rPr>
      <w:t>- 16 -</w:t>
    </w:r>
    <w:r>
      <w:rPr>
        <w:rStyle w:val="29"/>
      </w:rPr>
      <w:fldChar w:fldCharType="end"/>
    </w:r>
  </w:p>
  <w:p w14:paraId="2CB58B61">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24FC4">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80803">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51B21">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64C14">
    <w:pPr>
      <w:pStyle w:val="15"/>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Style w:val="29"/>
                    <w:sz w:val="21"/>
                    <w:szCs w:val="21"/>
                  </w:rPr>
                  <w:id w:val="527225311"/>
                </w:sdtPr>
                <w:sdtEndPr>
                  <w:rPr>
                    <w:rStyle w:val="29"/>
                    <w:sz w:val="21"/>
                    <w:szCs w:val="21"/>
                  </w:rPr>
                </w:sdtEndPr>
                <w:sdtContent>
                  <w:p w14:paraId="59F559FF">
                    <w:pPr>
                      <w:pStyle w:val="15"/>
                      <w:rPr>
                        <w:rStyle w:val="29"/>
                        <w:sz w:val="21"/>
                        <w:szCs w:val="21"/>
                      </w:rPr>
                    </w:pPr>
                    <w:r>
                      <w:rPr>
                        <w:rStyle w:val="29"/>
                        <w:sz w:val="24"/>
                        <w:szCs w:val="24"/>
                      </w:rPr>
                      <w:fldChar w:fldCharType="begin"/>
                    </w:r>
                    <w:r>
                      <w:rPr>
                        <w:rStyle w:val="29"/>
                        <w:sz w:val="24"/>
                        <w:szCs w:val="24"/>
                      </w:rPr>
                      <w:instrText xml:space="preserve"> PAGE </w:instrText>
                    </w:r>
                    <w:r>
                      <w:rPr>
                        <w:rStyle w:val="29"/>
                        <w:sz w:val="24"/>
                        <w:szCs w:val="24"/>
                      </w:rPr>
                      <w:fldChar w:fldCharType="separate"/>
                    </w:r>
                    <w:r>
                      <w:rPr>
                        <w:rStyle w:val="29"/>
                        <w:sz w:val="24"/>
                        <w:szCs w:val="24"/>
                      </w:rPr>
                      <w:t>1</w:t>
                    </w:r>
                    <w:r>
                      <w:rPr>
                        <w:rStyle w:val="29"/>
                        <w:sz w:val="24"/>
                        <w:szCs w:val="24"/>
                      </w:rPr>
                      <w:fldChar w:fldCharType="end"/>
                    </w:r>
                  </w:p>
                </w:sdtContent>
              </w:sdt>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FhM2I2ZGQ1N2JkOTM1Y2IwMmFkMzUwMjc0MGY3NjkifQ=="/>
  </w:docVars>
  <w:rsids>
    <w:rsidRoot w:val="00D7772F"/>
    <w:rsid w:val="00000701"/>
    <w:rsid w:val="00000D20"/>
    <w:rsid w:val="00001217"/>
    <w:rsid w:val="0000197D"/>
    <w:rsid w:val="00001B2D"/>
    <w:rsid w:val="00001CA2"/>
    <w:rsid w:val="000021F0"/>
    <w:rsid w:val="00004B01"/>
    <w:rsid w:val="00004F0A"/>
    <w:rsid w:val="00005248"/>
    <w:rsid w:val="00005ECD"/>
    <w:rsid w:val="00007CBA"/>
    <w:rsid w:val="00007EC4"/>
    <w:rsid w:val="00010B28"/>
    <w:rsid w:val="0001562B"/>
    <w:rsid w:val="000156B2"/>
    <w:rsid w:val="00015913"/>
    <w:rsid w:val="000159BF"/>
    <w:rsid w:val="00015ADC"/>
    <w:rsid w:val="000212ED"/>
    <w:rsid w:val="00021407"/>
    <w:rsid w:val="00024064"/>
    <w:rsid w:val="00024922"/>
    <w:rsid w:val="00024EE1"/>
    <w:rsid w:val="00024FF4"/>
    <w:rsid w:val="00024FF5"/>
    <w:rsid w:val="00032EBF"/>
    <w:rsid w:val="000350CB"/>
    <w:rsid w:val="00035238"/>
    <w:rsid w:val="00036313"/>
    <w:rsid w:val="00036807"/>
    <w:rsid w:val="00036E4E"/>
    <w:rsid w:val="00037C44"/>
    <w:rsid w:val="0004027A"/>
    <w:rsid w:val="00040694"/>
    <w:rsid w:val="000407FA"/>
    <w:rsid w:val="00040B3B"/>
    <w:rsid w:val="00040D6A"/>
    <w:rsid w:val="0004143E"/>
    <w:rsid w:val="0004207D"/>
    <w:rsid w:val="000429ED"/>
    <w:rsid w:val="00042E2E"/>
    <w:rsid w:val="000435B5"/>
    <w:rsid w:val="00043A4D"/>
    <w:rsid w:val="00043A59"/>
    <w:rsid w:val="000443D9"/>
    <w:rsid w:val="00044A7F"/>
    <w:rsid w:val="0004675B"/>
    <w:rsid w:val="000478C7"/>
    <w:rsid w:val="0005194D"/>
    <w:rsid w:val="00052C8C"/>
    <w:rsid w:val="00054632"/>
    <w:rsid w:val="000550A4"/>
    <w:rsid w:val="000552FE"/>
    <w:rsid w:val="00055369"/>
    <w:rsid w:val="00055DA7"/>
    <w:rsid w:val="00063FB6"/>
    <w:rsid w:val="0006400E"/>
    <w:rsid w:val="00064F30"/>
    <w:rsid w:val="00065078"/>
    <w:rsid w:val="00065599"/>
    <w:rsid w:val="00066111"/>
    <w:rsid w:val="00067045"/>
    <w:rsid w:val="0007026D"/>
    <w:rsid w:val="00070520"/>
    <w:rsid w:val="00070F71"/>
    <w:rsid w:val="000713D9"/>
    <w:rsid w:val="00073E2A"/>
    <w:rsid w:val="00077B6F"/>
    <w:rsid w:val="00077C03"/>
    <w:rsid w:val="00081B70"/>
    <w:rsid w:val="00083A2D"/>
    <w:rsid w:val="00083F0B"/>
    <w:rsid w:val="000842A2"/>
    <w:rsid w:val="00085091"/>
    <w:rsid w:val="00085142"/>
    <w:rsid w:val="00085C93"/>
    <w:rsid w:val="000860DD"/>
    <w:rsid w:val="00087892"/>
    <w:rsid w:val="000878C5"/>
    <w:rsid w:val="00087B65"/>
    <w:rsid w:val="00087B70"/>
    <w:rsid w:val="00087FF9"/>
    <w:rsid w:val="0009109D"/>
    <w:rsid w:val="00092195"/>
    <w:rsid w:val="00092544"/>
    <w:rsid w:val="0009274A"/>
    <w:rsid w:val="000927E2"/>
    <w:rsid w:val="00092FC6"/>
    <w:rsid w:val="000930A9"/>
    <w:rsid w:val="000940AF"/>
    <w:rsid w:val="0009450D"/>
    <w:rsid w:val="00094B9D"/>
    <w:rsid w:val="00094F03"/>
    <w:rsid w:val="00095151"/>
    <w:rsid w:val="00097D75"/>
    <w:rsid w:val="000A01B2"/>
    <w:rsid w:val="000A116E"/>
    <w:rsid w:val="000A1224"/>
    <w:rsid w:val="000A1621"/>
    <w:rsid w:val="000A2435"/>
    <w:rsid w:val="000A2687"/>
    <w:rsid w:val="000A2FA4"/>
    <w:rsid w:val="000A4FFA"/>
    <w:rsid w:val="000A56CD"/>
    <w:rsid w:val="000A5A58"/>
    <w:rsid w:val="000A6C0B"/>
    <w:rsid w:val="000A6E5E"/>
    <w:rsid w:val="000A70E2"/>
    <w:rsid w:val="000A7D84"/>
    <w:rsid w:val="000B0781"/>
    <w:rsid w:val="000B0A6F"/>
    <w:rsid w:val="000B0F21"/>
    <w:rsid w:val="000B188D"/>
    <w:rsid w:val="000B1EE6"/>
    <w:rsid w:val="000B24E0"/>
    <w:rsid w:val="000B37D7"/>
    <w:rsid w:val="000B4358"/>
    <w:rsid w:val="000B457A"/>
    <w:rsid w:val="000B5A3A"/>
    <w:rsid w:val="000B5AE6"/>
    <w:rsid w:val="000B630F"/>
    <w:rsid w:val="000B6720"/>
    <w:rsid w:val="000B7FB9"/>
    <w:rsid w:val="000C0628"/>
    <w:rsid w:val="000C5D59"/>
    <w:rsid w:val="000C6807"/>
    <w:rsid w:val="000D0EF3"/>
    <w:rsid w:val="000D17EB"/>
    <w:rsid w:val="000D2793"/>
    <w:rsid w:val="000D3AED"/>
    <w:rsid w:val="000D55B4"/>
    <w:rsid w:val="000D5641"/>
    <w:rsid w:val="000D6960"/>
    <w:rsid w:val="000D719B"/>
    <w:rsid w:val="000D7B76"/>
    <w:rsid w:val="000E167D"/>
    <w:rsid w:val="000E230B"/>
    <w:rsid w:val="000E4230"/>
    <w:rsid w:val="000E44CA"/>
    <w:rsid w:val="000E4FB0"/>
    <w:rsid w:val="000E53B7"/>
    <w:rsid w:val="000E576A"/>
    <w:rsid w:val="000E6284"/>
    <w:rsid w:val="000E7A3D"/>
    <w:rsid w:val="000E7B31"/>
    <w:rsid w:val="000F0C7F"/>
    <w:rsid w:val="000F18B6"/>
    <w:rsid w:val="000F1E5B"/>
    <w:rsid w:val="000F22F8"/>
    <w:rsid w:val="000F29D8"/>
    <w:rsid w:val="000F37E0"/>
    <w:rsid w:val="000F3858"/>
    <w:rsid w:val="000F39D2"/>
    <w:rsid w:val="000F3B4C"/>
    <w:rsid w:val="000F414A"/>
    <w:rsid w:val="000F544A"/>
    <w:rsid w:val="000F5737"/>
    <w:rsid w:val="000F7275"/>
    <w:rsid w:val="000F76F8"/>
    <w:rsid w:val="000F7C13"/>
    <w:rsid w:val="00100B86"/>
    <w:rsid w:val="001018EB"/>
    <w:rsid w:val="00101EE7"/>
    <w:rsid w:val="00102AF7"/>
    <w:rsid w:val="00105DBC"/>
    <w:rsid w:val="00110062"/>
    <w:rsid w:val="00110194"/>
    <w:rsid w:val="001107D4"/>
    <w:rsid w:val="00110804"/>
    <w:rsid w:val="00110A94"/>
    <w:rsid w:val="001139D0"/>
    <w:rsid w:val="00113F68"/>
    <w:rsid w:val="0011400E"/>
    <w:rsid w:val="00114063"/>
    <w:rsid w:val="00114B02"/>
    <w:rsid w:val="00116061"/>
    <w:rsid w:val="001171F4"/>
    <w:rsid w:val="00117873"/>
    <w:rsid w:val="00121AC0"/>
    <w:rsid w:val="00121C55"/>
    <w:rsid w:val="00126E7E"/>
    <w:rsid w:val="0013166E"/>
    <w:rsid w:val="00133756"/>
    <w:rsid w:val="00134078"/>
    <w:rsid w:val="001349B3"/>
    <w:rsid w:val="00134DE9"/>
    <w:rsid w:val="00134E6E"/>
    <w:rsid w:val="00135793"/>
    <w:rsid w:val="00136183"/>
    <w:rsid w:val="00136440"/>
    <w:rsid w:val="001369A8"/>
    <w:rsid w:val="0013736B"/>
    <w:rsid w:val="001375E8"/>
    <w:rsid w:val="00141103"/>
    <w:rsid w:val="00141254"/>
    <w:rsid w:val="00141A05"/>
    <w:rsid w:val="001433D9"/>
    <w:rsid w:val="00143552"/>
    <w:rsid w:val="00145014"/>
    <w:rsid w:val="0014531B"/>
    <w:rsid w:val="0014672E"/>
    <w:rsid w:val="00146AFE"/>
    <w:rsid w:val="00146E90"/>
    <w:rsid w:val="00146FDD"/>
    <w:rsid w:val="00147C20"/>
    <w:rsid w:val="00151DB0"/>
    <w:rsid w:val="00152310"/>
    <w:rsid w:val="00153086"/>
    <w:rsid w:val="00153252"/>
    <w:rsid w:val="00154F97"/>
    <w:rsid w:val="001553AE"/>
    <w:rsid w:val="001558D0"/>
    <w:rsid w:val="001606D8"/>
    <w:rsid w:val="00160796"/>
    <w:rsid w:val="00160F40"/>
    <w:rsid w:val="00161BC7"/>
    <w:rsid w:val="00162152"/>
    <w:rsid w:val="00162A47"/>
    <w:rsid w:val="001635CD"/>
    <w:rsid w:val="00163D64"/>
    <w:rsid w:val="00166C72"/>
    <w:rsid w:val="00167C92"/>
    <w:rsid w:val="0017008E"/>
    <w:rsid w:val="0017080C"/>
    <w:rsid w:val="0017106A"/>
    <w:rsid w:val="001721A8"/>
    <w:rsid w:val="00172BEC"/>
    <w:rsid w:val="00172F37"/>
    <w:rsid w:val="00173610"/>
    <w:rsid w:val="00174F9A"/>
    <w:rsid w:val="00176055"/>
    <w:rsid w:val="0017696C"/>
    <w:rsid w:val="00177CAC"/>
    <w:rsid w:val="001806A3"/>
    <w:rsid w:val="00181AF2"/>
    <w:rsid w:val="001823BF"/>
    <w:rsid w:val="001825E8"/>
    <w:rsid w:val="0018273F"/>
    <w:rsid w:val="001830EA"/>
    <w:rsid w:val="00183D11"/>
    <w:rsid w:val="001841BB"/>
    <w:rsid w:val="0018496B"/>
    <w:rsid w:val="001862F2"/>
    <w:rsid w:val="00186427"/>
    <w:rsid w:val="00187030"/>
    <w:rsid w:val="001878F2"/>
    <w:rsid w:val="00192E81"/>
    <w:rsid w:val="00193814"/>
    <w:rsid w:val="0019508B"/>
    <w:rsid w:val="001952CA"/>
    <w:rsid w:val="00195AAF"/>
    <w:rsid w:val="00196767"/>
    <w:rsid w:val="0019697E"/>
    <w:rsid w:val="001A046F"/>
    <w:rsid w:val="001A0F65"/>
    <w:rsid w:val="001A1015"/>
    <w:rsid w:val="001A19CA"/>
    <w:rsid w:val="001A258E"/>
    <w:rsid w:val="001A364E"/>
    <w:rsid w:val="001A38CB"/>
    <w:rsid w:val="001A42A6"/>
    <w:rsid w:val="001A4CAD"/>
    <w:rsid w:val="001A58D1"/>
    <w:rsid w:val="001A7855"/>
    <w:rsid w:val="001B0248"/>
    <w:rsid w:val="001B0F9B"/>
    <w:rsid w:val="001B1173"/>
    <w:rsid w:val="001B19E3"/>
    <w:rsid w:val="001B288A"/>
    <w:rsid w:val="001B2D48"/>
    <w:rsid w:val="001B2EC9"/>
    <w:rsid w:val="001B35B1"/>
    <w:rsid w:val="001B3F2B"/>
    <w:rsid w:val="001B3F78"/>
    <w:rsid w:val="001B4D96"/>
    <w:rsid w:val="001B4F02"/>
    <w:rsid w:val="001B59D6"/>
    <w:rsid w:val="001C014D"/>
    <w:rsid w:val="001C043D"/>
    <w:rsid w:val="001C241B"/>
    <w:rsid w:val="001C3167"/>
    <w:rsid w:val="001C3B6E"/>
    <w:rsid w:val="001C5007"/>
    <w:rsid w:val="001C6737"/>
    <w:rsid w:val="001C69B6"/>
    <w:rsid w:val="001D0C0E"/>
    <w:rsid w:val="001D136E"/>
    <w:rsid w:val="001D29D4"/>
    <w:rsid w:val="001D2B31"/>
    <w:rsid w:val="001D32B0"/>
    <w:rsid w:val="001D474C"/>
    <w:rsid w:val="001D4DDC"/>
    <w:rsid w:val="001D5116"/>
    <w:rsid w:val="001D5A40"/>
    <w:rsid w:val="001D66F3"/>
    <w:rsid w:val="001D7A7A"/>
    <w:rsid w:val="001E0AD2"/>
    <w:rsid w:val="001E1648"/>
    <w:rsid w:val="001E1762"/>
    <w:rsid w:val="001E3888"/>
    <w:rsid w:val="001E3952"/>
    <w:rsid w:val="001E4902"/>
    <w:rsid w:val="001E4B8C"/>
    <w:rsid w:val="001E4FC0"/>
    <w:rsid w:val="001E5BAE"/>
    <w:rsid w:val="001E5C85"/>
    <w:rsid w:val="001E6E5B"/>
    <w:rsid w:val="001F14F1"/>
    <w:rsid w:val="001F3467"/>
    <w:rsid w:val="001F404B"/>
    <w:rsid w:val="001F4A9E"/>
    <w:rsid w:val="001F4B00"/>
    <w:rsid w:val="001F5D4F"/>
    <w:rsid w:val="001F63ED"/>
    <w:rsid w:val="001F71A9"/>
    <w:rsid w:val="001F7861"/>
    <w:rsid w:val="0020097E"/>
    <w:rsid w:val="0020134C"/>
    <w:rsid w:val="002039E0"/>
    <w:rsid w:val="002051C5"/>
    <w:rsid w:val="002067CD"/>
    <w:rsid w:val="00206AEF"/>
    <w:rsid w:val="00207EBF"/>
    <w:rsid w:val="002100C4"/>
    <w:rsid w:val="0021038A"/>
    <w:rsid w:val="00210430"/>
    <w:rsid w:val="00210731"/>
    <w:rsid w:val="0021139E"/>
    <w:rsid w:val="00211449"/>
    <w:rsid w:val="002132D7"/>
    <w:rsid w:val="00213536"/>
    <w:rsid w:val="002143D0"/>
    <w:rsid w:val="00216B4D"/>
    <w:rsid w:val="0022268B"/>
    <w:rsid w:val="00222BCE"/>
    <w:rsid w:val="00224394"/>
    <w:rsid w:val="00224438"/>
    <w:rsid w:val="002254EF"/>
    <w:rsid w:val="00225699"/>
    <w:rsid w:val="0022587E"/>
    <w:rsid w:val="00225EEE"/>
    <w:rsid w:val="00225FCA"/>
    <w:rsid w:val="002269D7"/>
    <w:rsid w:val="00226DB2"/>
    <w:rsid w:val="0022704B"/>
    <w:rsid w:val="002300D5"/>
    <w:rsid w:val="0023035F"/>
    <w:rsid w:val="00234026"/>
    <w:rsid w:val="00235FD9"/>
    <w:rsid w:val="00236CF6"/>
    <w:rsid w:val="00236CFE"/>
    <w:rsid w:val="0024000E"/>
    <w:rsid w:val="0024081A"/>
    <w:rsid w:val="0024121D"/>
    <w:rsid w:val="0024306E"/>
    <w:rsid w:val="002432E1"/>
    <w:rsid w:val="00247B94"/>
    <w:rsid w:val="00252CBC"/>
    <w:rsid w:val="00253F86"/>
    <w:rsid w:val="00255170"/>
    <w:rsid w:val="00255B56"/>
    <w:rsid w:val="0025691C"/>
    <w:rsid w:val="0026121B"/>
    <w:rsid w:val="002619E6"/>
    <w:rsid w:val="00261D81"/>
    <w:rsid w:val="00262533"/>
    <w:rsid w:val="00264536"/>
    <w:rsid w:val="00264658"/>
    <w:rsid w:val="00265900"/>
    <w:rsid w:val="0026701D"/>
    <w:rsid w:val="00267736"/>
    <w:rsid w:val="00271595"/>
    <w:rsid w:val="0027166E"/>
    <w:rsid w:val="00272092"/>
    <w:rsid w:val="0027412E"/>
    <w:rsid w:val="002742A1"/>
    <w:rsid w:val="00275941"/>
    <w:rsid w:val="00275B70"/>
    <w:rsid w:val="00276281"/>
    <w:rsid w:val="00280430"/>
    <w:rsid w:val="0028113D"/>
    <w:rsid w:val="00281216"/>
    <w:rsid w:val="002835FD"/>
    <w:rsid w:val="00283790"/>
    <w:rsid w:val="00283BCC"/>
    <w:rsid w:val="00283DE6"/>
    <w:rsid w:val="002848A3"/>
    <w:rsid w:val="00284B3C"/>
    <w:rsid w:val="00284C04"/>
    <w:rsid w:val="00285337"/>
    <w:rsid w:val="002868A2"/>
    <w:rsid w:val="00290F50"/>
    <w:rsid w:val="002911FB"/>
    <w:rsid w:val="00291405"/>
    <w:rsid w:val="0029317E"/>
    <w:rsid w:val="002938CE"/>
    <w:rsid w:val="0029408D"/>
    <w:rsid w:val="0029487C"/>
    <w:rsid w:val="00294C1F"/>
    <w:rsid w:val="002A06B3"/>
    <w:rsid w:val="002A44AC"/>
    <w:rsid w:val="002A5291"/>
    <w:rsid w:val="002A5366"/>
    <w:rsid w:val="002A546F"/>
    <w:rsid w:val="002A7266"/>
    <w:rsid w:val="002B08FB"/>
    <w:rsid w:val="002B1B45"/>
    <w:rsid w:val="002B2D89"/>
    <w:rsid w:val="002B3A87"/>
    <w:rsid w:val="002B3AA8"/>
    <w:rsid w:val="002B4C54"/>
    <w:rsid w:val="002B5426"/>
    <w:rsid w:val="002B5630"/>
    <w:rsid w:val="002B589D"/>
    <w:rsid w:val="002B733C"/>
    <w:rsid w:val="002B7AA3"/>
    <w:rsid w:val="002C0117"/>
    <w:rsid w:val="002C0431"/>
    <w:rsid w:val="002C0490"/>
    <w:rsid w:val="002C07E7"/>
    <w:rsid w:val="002C080E"/>
    <w:rsid w:val="002C1121"/>
    <w:rsid w:val="002C1A89"/>
    <w:rsid w:val="002C1A92"/>
    <w:rsid w:val="002C2000"/>
    <w:rsid w:val="002C22D2"/>
    <w:rsid w:val="002C3BCA"/>
    <w:rsid w:val="002C3C20"/>
    <w:rsid w:val="002C454E"/>
    <w:rsid w:val="002C6080"/>
    <w:rsid w:val="002C62C0"/>
    <w:rsid w:val="002C6425"/>
    <w:rsid w:val="002C76A9"/>
    <w:rsid w:val="002C7700"/>
    <w:rsid w:val="002D0456"/>
    <w:rsid w:val="002D18F9"/>
    <w:rsid w:val="002D293C"/>
    <w:rsid w:val="002D2BEC"/>
    <w:rsid w:val="002D3C11"/>
    <w:rsid w:val="002D4EFB"/>
    <w:rsid w:val="002D6C0F"/>
    <w:rsid w:val="002D6DE1"/>
    <w:rsid w:val="002D7BAB"/>
    <w:rsid w:val="002D7C6A"/>
    <w:rsid w:val="002E0581"/>
    <w:rsid w:val="002E0A49"/>
    <w:rsid w:val="002E1012"/>
    <w:rsid w:val="002E59F2"/>
    <w:rsid w:val="002E6357"/>
    <w:rsid w:val="002E6C7D"/>
    <w:rsid w:val="002E79AE"/>
    <w:rsid w:val="002E7E7F"/>
    <w:rsid w:val="002F13AE"/>
    <w:rsid w:val="002F2772"/>
    <w:rsid w:val="002F278C"/>
    <w:rsid w:val="002F2EB7"/>
    <w:rsid w:val="002F30B8"/>
    <w:rsid w:val="002F4F32"/>
    <w:rsid w:val="002F5071"/>
    <w:rsid w:val="002F5AD5"/>
    <w:rsid w:val="002F5FF8"/>
    <w:rsid w:val="002F6098"/>
    <w:rsid w:val="002F631F"/>
    <w:rsid w:val="002F6904"/>
    <w:rsid w:val="002F70D2"/>
    <w:rsid w:val="002F7870"/>
    <w:rsid w:val="002F7D60"/>
    <w:rsid w:val="00300800"/>
    <w:rsid w:val="00301501"/>
    <w:rsid w:val="003037D9"/>
    <w:rsid w:val="003048A8"/>
    <w:rsid w:val="00311449"/>
    <w:rsid w:val="003115EF"/>
    <w:rsid w:val="00311BF4"/>
    <w:rsid w:val="00313F89"/>
    <w:rsid w:val="0031512E"/>
    <w:rsid w:val="00315C0E"/>
    <w:rsid w:val="00317787"/>
    <w:rsid w:val="00320CB3"/>
    <w:rsid w:val="00322461"/>
    <w:rsid w:val="003246D4"/>
    <w:rsid w:val="00324837"/>
    <w:rsid w:val="003263BB"/>
    <w:rsid w:val="003271E2"/>
    <w:rsid w:val="003307C4"/>
    <w:rsid w:val="003308F2"/>
    <w:rsid w:val="00330D2B"/>
    <w:rsid w:val="003315FE"/>
    <w:rsid w:val="003319AC"/>
    <w:rsid w:val="003321D0"/>
    <w:rsid w:val="0033363C"/>
    <w:rsid w:val="0033636C"/>
    <w:rsid w:val="003363E0"/>
    <w:rsid w:val="00337A8B"/>
    <w:rsid w:val="00340FD6"/>
    <w:rsid w:val="003420A8"/>
    <w:rsid w:val="00343B07"/>
    <w:rsid w:val="00343BA0"/>
    <w:rsid w:val="00344071"/>
    <w:rsid w:val="0034424E"/>
    <w:rsid w:val="00344595"/>
    <w:rsid w:val="003455E0"/>
    <w:rsid w:val="00345BEC"/>
    <w:rsid w:val="00345C70"/>
    <w:rsid w:val="003468A9"/>
    <w:rsid w:val="00351C50"/>
    <w:rsid w:val="00352D95"/>
    <w:rsid w:val="0035753D"/>
    <w:rsid w:val="003576F0"/>
    <w:rsid w:val="003606BD"/>
    <w:rsid w:val="00360A52"/>
    <w:rsid w:val="003612DA"/>
    <w:rsid w:val="00362C5A"/>
    <w:rsid w:val="00362DC4"/>
    <w:rsid w:val="00362E71"/>
    <w:rsid w:val="003632F8"/>
    <w:rsid w:val="00363E47"/>
    <w:rsid w:val="00364ADD"/>
    <w:rsid w:val="00364D13"/>
    <w:rsid w:val="00366249"/>
    <w:rsid w:val="0036633B"/>
    <w:rsid w:val="003663AE"/>
    <w:rsid w:val="00370DD3"/>
    <w:rsid w:val="00370F59"/>
    <w:rsid w:val="003710F5"/>
    <w:rsid w:val="0037314B"/>
    <w:rsid w:val="00375E7E"/>
    <w:rsid w:val="00376E25"/>
    <w:rsid w:val="003770D4"/>
    <w:rsid w:val="00377201"/>
    <w:rsid w:val="0037742B"/>
    <w:rsid w:val="003804BE"/>
    <w:rsid w:val="00382118"/>
    <w:rsid w:val="0038514A"/>
    <w:rsid w:val="0038561A"/>
    <w:rsid w:val="00385F98"/>
    <w:rsid w:val="003860E8"/>
    <w:rsid w:val="003863C0"/>
    <w:rsid w:val="00390C29"/>
    <w:rsid w:val="00392E03"/>
    <w:rsid w:val="00393F95"/>
    <w:rsid w:val="003951F1"/>
    <w:rsid w:val="003957AF"/>
    <w:rsid w:val="0039598B"/>
    <w:rsid w:val="00395B20"/>
    <w:rsid w:val="003970AE"/>
    <w:rsid w:val="003A03D1"/>
    <w:rsid w:val="003A0E4F"/>
    <w:rsid w:val="003A1844"/>
    <w:rsid w:val="003A19AC"/>
    <w:rsid w:val="003A23B7"/>
    <w:rsid w:val="003A24E8"/>
    <w:rsid w:val="003A3C20"/>
    <w:rsid w:val="003A5BDD"/>
    <w:rsid w:val="003A70D9"/>
    <w:rsid w:val="003A7BD3"/>
    <w:rsid w:val="003B04C6"/>
    <w:rsid w:val="003B25B0"/>
    <w:rsid w:val="003B32A6"/>
    <w:rsid w:val="003B3706"/>
    <w:rsid w:val="003B52BE"/>
    <w:rsid w:val="003B537F"/>
    <w:rsid w:val="003B6128"/>
    <w:rsid w:val="003C0B33"/>
    <w:rsid w:val="003C0DEA"/>
    <w:rsid w:val="003C130D"/>
    <w:rsid w:val="003C2BBB"/>
    <w:rsid w:val="003C4004"/>
    <w:rsid w:val="003C4009"/>
    <w:rsid w:val="003C49AF"/>
    <w:rsid w:val="003C5E3E"/>
    <w:rsid w:val="003C5F5F"/>
    <w:rsid w:val="003C614B"/>
    <w:rsid w:val="003C6BB6"/>
    <w:rsid w:val="003C6ED6"/>
    <w:rsid w:val="003C7F57"/>
    <w:rsid w:val="003D07AE"/>
    <w:rsid w:val="003D0B49"/>
    <w:rsid w:val="003D14E3"/>
    <w:rsid w:val="003D1741"/>
    <w:rsid w:val="003D1A4E"/>
    <w:rsid w:val="003D1F48"/>
    <w:rsid w:val="003D279F"/>
    <w:rsid w:val="003D3B25"/>
    <w:rsid w:val="003D3F5F"/>
    <w:rsid w:val="003D502E"/>
    <w:rsid w:val="003D5A74"/>
    <w:rsid w:val="003D5AB4"/>
    <w:rsid w:val="003D5DAD"/>
    <w:rsid w:val="003D69AF"/>
    <w:rsid w:val="003E02EB"/>
    <w:rsid w:val="003E12F6"/>
    <w:rsid w:val="003E21DB"/>
    <w:rsid w:val="003E33D7"/>
    <w:rsid w:val="003E4254"/>
    <w:rsid w:val="003E4D3E"/>
    <w:rsid w:val="003E513E"/>
    <w:rsid w:val="003E51E0"/>
    <w:rsid w:val="003E5518"/>
    <w:rsid w:val="003E56E6"/>
    <w:rsid w:val="003E6044"/>
    <w:rsid w:val="003E7330"/>
    <w:rsid w:val="003F226C"/>
    <w:rsid w:val="003F2A2B"/>
    <w:rsid w:val="003F344B"/>
    <w:rsid w:val="003F3514"/>
    <w:rsid w:val="003F4B8D"/>
    <w:rsid w:val="003F5BB1"/>
    <w:rsid w:val="003F6099"/>
    <w:rsid w:val="003F62E1"/>
    <w:rsid w:val="003F69E8"/>
    <w:rsid w:val="003F6A95"/>
    <w:rsid w:val="00400E96"/>
    <w:rsid w:val="00402B3F"/>
    <w:rsid w:val="00402F31"/>
    <w:rsid w:val="004035DA"/>
    <w:rsid w:val="004057CB"/>
    <w:rsid w:val="00405B8F"/>
    <w:rsid w:val="0041143A"/>
    <w:rsid w:val="004114DD"/>
    <w:rsid w:val="00411D01"/>
    <w:rsid w:val="0041422B"/>
    <w:rsid w:val="00415058"/>
    <w:rsid w:val="004161FB"/>
    <w:rsid w:val="00416B27"/>
    <w:rsid w:val="00417103"/>
    <w:rsid w:val="0041768C"/>
    <w:rsid w:val="00420205"/>
    <w:rsid w:val="00421ABB"/>
    <w:rsid w:val="004225B0"/>
    <w:rsid w:val="0042303C"/>
    <w:rsid w:val="00423560"/>
    <w:rsid w:val="00423972"/>
    <w:rsid w:val="00423C7A"/>
    <w:rsid w:val="0042469F"/>
    <w:rsid w:val="00425D79"/>
    <w:rsid w:val="00432455"/>
    <w:rsid w:val="00432B19"/>
    <w:rsid w:val="004340FD"/>
    <w:rsid w:val="00434D07"/>
    <w:rsid w:val="00435D3B"/>
    <w:rsid w:val="004364D0"/>
    <w:rsid w:val="00437D7B"/>
    <w:rsid w:val="004429AB"/>
    <w:rsid w:val="00442DD8"/>
    <w:rsid w:val="00442DED"/>
    <w:rsid w:val="00443178"/>
    <w:rsid w:val="004432C0"/>
    <w:rsid w:val="00444FD8"/>
    <w:rsid w:val="004451AB"/>
    <w:rsid w:val="00445A86"/>
    <w:rsid w:val="00446B95"/>
    <w:rsid w:val="00446E83"/>
    <w:rsid w:val="00446FC8"/>
    <w:rsid w:val="0044727B"/>
    <w:rsid w:val="00447D55"/>
    <w:rsid w:val="0045087D"/>
    <w:rsid w:val="004513E1"/>
    <w:rsid w:val="00451D65"/>
    <w:rsid w:val="004529E6"/>
    <w:rsid w:val="00455A06"/>
    <w:rsid w:val="00457E51"/>
    <w:rsid w:val="004602F9"/>
    <w:rsid w:val="0046084F"/>
    <w:rsid w:val="00460922"/>
    <w:rsid w:val="004609F7"/>
    <w:rsid w:val="00460B25"/>
    <w:rsid w:val="00461C65"/>
    <w:rsid w:val="00462452"/>
    <w:rsid w:val="00462566"/>
    <w:rsid w:val="00463943"/>
    <w:rsid w:val="00463DF8"/>
    <w:rsid w:val="00464F25"/>
    <w:rsid w:val="00465058"/>
    <w:rsid w:val="00466B0D"/>
    <w:rsid w:val="004676BD"/>
    <w:rsid w:val="00467936"/>
    <w:rsid w:val="0047107B"/>
    <w:rsid w:val="00473E0C"/>
    <w:rsid w:val="004741A6"/>
    <w:rsid w:val="00474DF8"/>
    <w:rsid w:val="0047517E"/>
    <w:rsid w:val="00475711"/>
    <w:rsid w:val="004800C4"/>
    <w:rsid w:val="00482C16"/>
    <w:rsid w:val="00483DE0"/>
    <w:rsid w:val="00484F87"/>
    <w:rsid w:val="004876BA"/>
    <w:rsid w:val="00490815"/>
    <w:rsid w:val="00493F4A"/>
    <w:rsid w:val="0049429F"/>
    <w:rsid w:val="004946C2"/>
    <w:rsid w:val="00494739"/>
    <w:rsid w:val="00494C88"/>
    <w:rsid w:val="00494CEB"/>
    <w:rsid w:val="00496626"/>
    <w:rsid w:val="004A104B"/>
    <w:rsid w:val="004A1517"/>
    <w:rsid w:val="004A1E92"/>
    <w:rsid w:val="004A21F4"/>
    <w:rsid w:val="004A3B82"/>
    <w:rsid w:val="004A4BF2"/>
    <w:rsid w:val="004A4C64"/>
    <w:rsid w:val="004A59B5"/>
    <w:rsid w:val="004A64CF"/>
    <w:rsid w:val="004A725F"/>
    <w:rsid w:val="004A7BEB"/>
    <w:rsid w:val="004B18BD"/>
    <w:rsid w:val="004B1AEA"/>
    <w:rsid w:val="004B1B2B"/>
    <w:rsid w:val="004B1E8B"/>
    <w:rsid w:val="004B2334"/>
    <w:rsid w:val="004B33F6"/>
    <w:rsid w:val="004B3647"/>
    <w:rsid w:val="004B3C77"/>
    <w:rsid w:val="004B4265"/>
    <w:rsid w:val="004B5E0E"/>
    <w:rsid w:val="004C0EBA"/>
    <w:rsid w:val="004C11E4"/>
    <w:rsid w:val="004C2195"/>
    <w:rsid w:val="004C21D6"/>
    <w:rsid w:val="004C268D"/>
    <w:rsid w:val="004C3A4F"/>
    <w:rsid w:val="004C4A73"/>
    <w:rsid w:val="004C629B"/>
    <w:rsid w:val="004C7D66"/>
    <w:rsid w:val="004D028E"/>
    <w:rsid w:val="004D046B"/>
    <w:rsid w:val="004D0BFB"/>
    <w:rsid w:val="004D1F32"/>
    <w:rsid w:val="004D2970"/>
    <w:rsid w:val="004D333D"/>
    <w:rsid w:val="004D3A75"/>
    <w:rsid w:val="004D4650"/>
    <w:rsid w:val="004D4852"/>
    <w:rsid w:val="004D4AE7"/>
    <w:rsid w:val="004D4E4B"/>
    <w:rsid w:val="004D564E"/>
    <w:rsid w:val="004D778E"/>
    <w:rsid w:val="004D7CE7"/>
    <w:rsid w:val="004E00B6"/>
    <w:rsid w:val="004E0217"/>
    <w:rsid w:val="004E34BF"/>
    <w:rsid w:val="004E4F06"/>
    <w:rsid w:val="004E6024"/>
    <w:rsid w:val="004E796B"/>
    <w:rsid w:val="004F0CBB"/>
    <w:rsid w:val="004F149B"/>
    <w:rsid w:val="004F26BC"/>
    <w:rsid w:val="004F33E9"/>
    <w:rsid w:val="004F3630"/>
    <w:rsid w:val="004F4065"/>
    <w:rsid w:val="004F607A"/>
    <w:rsid w:val="004F6943"/>
    <w:rsid w:val="0050041D"/>
    <w:rsid w:val="0050219A"/>
    <w:rsid w:val="005023BF"/>
    <w:rsid w:val="005046AA"/>
    <w:rsid w:val="0050571E"/>
    <w:rsid w:val="00505AAC"/>
    <w:rsid w:val="005063CC"/>
    <w:rsid w:val="00506C79"/>
    <w:rsid w:val="005076B0"/>
    <w:rsid w:val="00510129"/>
    <w:rsid w:val="00510C08"/>
    <w:rsid w:val="0051154F"/>
    <w:rsid w:val="005119EF"/>
    <w:rsid w:val="00512A96"/>
    <w:rsid w:val="00513004"/>
    <w:rsid w:val="0051393C"/>
    <w:rsid w:val="0051473A"/>
    <w:rsid w:val="00515876"/>
    <w:rsid w:val="00516F22"/>
    <w:rsid w:val="00517163"/>
    <w:rsid w:val="00517CC2"/>
    <w:rsid w:val="00517F4A"/>
    <w:rsid w:val="00521957"/>
    <w:rsid w:val="00522BFB"/>
    <w:rsid w:val="00522D26"/>
    <w:rsid w:val="00522E4E"/>
    <w:rsid w:val="00523747"/>
    <w:rsid w:val="0052449A"/>
    <w:rsid w:val="00524791"/>
    <w:rsid w:val="0052517F"/>
    <w:rsid w:val="00526D37"/>
    <w:rsid w:val="005310CD"/>
    <w:rsid w:val="005312C0"/>
    <w:rsid w:val="00532B51"/>
    <w:rsid w:val="00532FCE"/>
    <w:rsid w:val="005337EE"/>
    <w:rsid w:val="00533CBA"/>
    <w:rsid w:val="00534ADB"/>
    <w:rsid w:val="005361E0"/>
    <w:rsid w:val="00536E93"/>
    <w:rsid w:val="005409DE"/>
    <w:rsid w:val="005409E2"/>
    <w:rsid w:val="00543602"/>
    <w:rsid w:val="005446DC"/>
    <w:rsid w:val="0054612C"/>
    <w:rsid w:val="005465FE"/>
    <w:rsid w:val="00546644"/>
    <w:rsid w:val="00546B72"/>
    <w:rsid w:val="00550933"/>
    <w:rsid w:val="00551AAB"/>
    <w:rsid w:val="005529FC"/>
    <w:rsid w:val="00552ABE"/>
    <w:rsid w:val="00553AB3"/>
    <w:rsid w:val="00554360"/>
    <w:rsid w:val="005546AB"/>
    <w:rsid w:val="00555027"/>
    <w:rsid w:val="0055778A"/>
    <w:rsid w:val="00557B10"/>
    <w:rsid w:val="00560F2E"/>
    <w:rsid w:val="00563CE0"/>
    <w:rsid w:val="00563E9B"/>
    <w:rsid w:val="00564128"/>
    <w:rsid w:val="00565C37"/>
    <w:rsid w:val="00566C90"/>
    <w:rsid w:val="00566D63"/>
    <w:rsid w:val="00566E8A"/>
    <w:rsid w:val="005676E0"/>
    <w:rsid w:val="00567A62"/>
    <w:rsid w:val="005700F8"/>
    <w:rsid w:val="00570458"/>
    <w:rsid w:val="00571FE2"/>
    <w:rsid w:val="005720EC"/>
    <w:rsid w:val="0057253A"/>
    <w:rsid w:val="0057292C"/>
    <w:rsid w:val="00572D24"/>
    <w:rsid w:val="00572EDE"/>
    <w:rsid w:val="0057423D"/>
    <w:rsid w:val="005748AA"/>
    <w:rsid w:val="00575ED0"/>
    <w:rsid w:val="00576436"/>
    <w:rsid w:val="00576F19"/>
    <w:rsid w:val="005778C9"/>
    <w:rsid w:val="0058026A"/>
    <w:rsid w:val="00580384"/>
    <w:rsid w:val="00581BDB"/>
    <w:rsid w:val="0058287F"/>
    <w:rsid w:val="0058373D"/>
    <w:rsid w:val="00584211"/>
    <w:rsid w:val="00585260"/>
    <w:rsid w:val="00585728"/>
    <w:rsid w:val="00585DFC"/>
    <w:rsid w:val="00591447"/>
    <w:rsid w:val="00594BFF"/>
    <w:rsid w:val="00595C30"/>
    <w:rsid w:val="00596932"/>
    <w:rsid w:val="00596CF9"/>
    <w:rsid w:val="00597018"/>
    <w:rsid w:val="0059717D"/>
    <w:rsid w:val="0059727F"/>
    <w:rsid w:val="00597C93"/>
    <w:rsid w:val="00597D7F"/>
    <w:rsid w:val="005A0357"/>
    <w:rsid w:val="005A132E"/>
    <w:rsid w:val="005A2991"/>
    <w:rsid w:val="005A41D4"/>
    <w:rsid w:val="005A521C"/>
    <w:rsid w:val="005A5AF2"/>
    <w:rsid w:val="005B02BD"/>
    <w:rsid w:val="005B18E7"/>
    <w:rsid w:val="005B21AA"/>
    <w:rsid w:val="005B2612"/>
    <w:rsid w:val="005B3FC5"/>
    <w:rsid w:val="005B57F6"/>
    <w:rsid w:val="005B5B5B"/>
    <w:rsid w:val="005B70D0"/>
    <w:rsid w:val="005C0FD2"/>
    <w:rsid w:val="005C2B9E"/>
    <w:rsid w:val="005C3727"/>
    <w:rsid w:val="005C39AC"/>
    <w:rsid w:val="005C52AE"/>
    <w:rsid w:val="005C5DC4"/>
    <w:rsid w:val="005C6453"/>
    <w:rsid w:val="005D1707"/>
    <w:rsid w:val="005D39CD"/>
    <w:rsid w:val="005D44EE"/>
    <w:rsid w:val="005D4683"/>
    <w:rsid w:val="005D4BDE"/>
    <w:rsid w:val="005D4C08"/>
    <w:rsid w:val="005D61F6"/>
    <w:rsid w:val="005D64C4"/>
    <w:rsid w:val="005D7503"/>
    <w:rsid w:val="005D7C03"/>
    <w:rsid w:val="005D7CC4"/>
    <w:rsid w:val="005E0BA9"/>
    <w:rsid w:val="005E0F67"/>
    <w:rsid w:val="005E13EB"/>
    <w:rsid w:val="005E211A"/>
    <w:rsid w:val="005E3EE7"/>
    <w:rsid w:val="005E4274"/>
    <w:rsid w:val="005E4C53"/>
    <w:rsid w:val="005E5839"/>
    <w:rsid w:val="005E60BB"/>
    <w:rsid w:val="005E6CD7"/>
    <w:rsid w:val="005F1BDB"/>
    <w:rsid w:val="005F229F"/>
    <w:rsid w:val="005F3085"/>
    <w:rsid w:val="005F43D1"/>
    <w:rsid w:val="005F472D"/>
    <w:rsid w:val="005F4E11"/>
    <w:rsid w:val="005F5124"/>
    <w:rsid w:val="005F5555"/>
    <w:rsid w:val="005F688E"/>
    <w:rsid w:val="005F6944"/>
    <w:rsid w:val="005F7685"/>
    <w:rsid w:val="005F7F3B"/>
    <w:rsid w:val="00600FCA"/>
    <w:rsid w:val="006015AD"/>
    <w:rsid w:val="00601652"/>
    <w:rsid w:val="006016C8"/>
    <w:rsid w:val="0060303B"/>
    <w:rsid w:val="0060392C"/>
    <w:rsid w:val="00603ACF"/>
    <w:rsid w:val="0060574A"/>
    <w:rsid w:val="00606C8B"/>
    <w:rsid w:val="006074C3"/>
    <w:rsid w:val="00611F7E"/>
    <w:rsid w:val="00612848"/>
    <w:rsid w:val="006151DA"/>
    <w:rsid w:val="0061604B"/>
    <w:rsid w:val="00616502"/>
    <w:rsid w:val="00620CED"/>
    <w:rsid w:val="0062111E"/>
    <w:rsid w:val="00622C6A"/>
    <w:rsid w:val="0062441B"/>
    <w:rsid w:val="00625FBA"/>
    <w:rsid w:val="0062674F"/>
    <w:rsid w:val="00630380"/>
    <w:rsid w:val="006307D8"/>
    <w:rsid w:val="00631003"/>
    <w:rsid w:val="0063112F"/>
    <w:rsid w:val="006327D7"/>
    <w:rsid w:val="00633E4E"/>
    <w:rsid w:val="00634432"/>
    <w:rsid w:val="00635CD4"/>
    <w:rsid w:val="0063634C"/>
    <w:rsid w:val="00637BE9"/>
    <w:rsid w:val="00637E5E"/>
    <w:rsid w:val="006420A9"/>
    <w:rsid w:val="00642473"/>
    <w:rsid w:val="0064409F"/>
    <w:rsid w:val="00645CB5"/>
    <w:rsid w:val="00647FD2"/>
    <w:rsid w:val="00650733"/>
    <w:rsid w:val="00650CA3"/>
    <w:rsid w:val="006520D6"/>
    <w:rsid w:val="006536DF"/>
    <w:rsid w:val="0065506D"/>
    <w:rsid w:val="006565F3"/>
    <w:rsid w:val="00657075"/>
    <w:rsid w:val="0066040E"/>
    <w:rsid w:val="00661591"/>
    <w:rsid w:val="006616BE"/>
    <w:rsid w:val="006621F9"/>
    <w:rsid w:val="006622C4"/>
    <w:rsid w:val="0066319C"/>
    <w:rsid w:val="00664C73"/>
    <w:rsid w:val="00665CD9"/>
    <w:rsid w:val="00670A48"/>
    <w:rsid w:val="00672A86"/>
    <w:rsid w:val="00673096"/>
    <w:rsid w:val="0067377D"/>
    <w:rsid w:val="00673F81"/>
    <w:rsid w:val="00675FD5"/>
    <w:rsid w:val="00677F2B"/>
    <w:rsid w:val="006810F6"/>
    <w:rsid w:val="00682B44"/>
    <w:rsid w:val="00683347"/>
    <w:rsid w:val="006850FE"/>
    <w:rsid w:val="00685920"/>
    <w:rsid w:val="0068645D"/>
    <w:rsid w:val="00686CEA"/>
    <w:rsid w:val="0068745A"/>
    <w:rsid w:val="0068771E"/>
    <w:rsid w:val="00687D84"/>
    <w:rsid w:val="006902AD"/>
    <w:rsid w:val="00690542"/>
    <w:rsid w:val="00691341"/>
    <w:rsid w:val="00691D00"/>
    <w:rsid w:val="00691EF9"/>
    <w:rsid w:val="00692A22"/>
    <w:rsid w:val="006941F6"/>
    <w:rsid w:val="00694280"/>
    <w:rsid w:val="00695101"/>
    <w:rsid w:val="00695548"/>
    <w:rsid w:val="00696FE9"/>
    <w:rsid w:val="0069798E"/>
    <w:rsid w:val="00697F0C"/>
    <w:rsid w:val="006A048C"/>
    <w:rsid w:val="006A2A52"/>
    <w:rsid w:val="006A3AB7"/>
    <w:rsid w:val="006A458F"/>
    <w:rsid w:val="006A7814"/>
    <w:rsid w:val="006B02CF"/>
    <w:rsid w:val="006B40EB"/>
    <w:rsid w:val="006B4F3F"/>
    <w:rsid w:val="006B551F"/>
    <w:rsid w:val="006B5A1D"/>
    <w:rsid w:val="006C06B6"/>
    <w:rsid w:val="006C09AE"/>
    <w:rsid w:val="006C1E82"/>
    <w:rsid w:val="006C2F28"/>
    <w:rsid w:val="006C3B72"/>
    <w:rsid w:val="006C3B91"/>
    <w:rsid w:val="006C441D"/>
    <w:rsid w:val="006C4C4E"/>
    <w:rsid w:val="006C5517"/>
    <w:rsid w:val="006C7828"/>
    <w:rsid w:val="006D0E4C"/>
    <w:rsid w:val="006D219C"/>
    <w:rsid w:val="006D41D8"/>
    <w:rsid w:val="006D4258"/>
    <w:rsid w:val="006D4FDC"/>
    <w:rsid w:val="006D512E"/>
    <w:rsid w:val="006D521B"/>
    <w:rsid w:val="006D5B2A"/>
    <w:rsid w:val="006D5F63"/>
    <w:rsid w:val="006D6ADE"/>
    <w:rsid w:val="006E2965"/>
    <w:rsid w:val="006E46C8"/>
    <w:rsid w:val="006E541F"/>
    <w:rsid w:val="006E6C3F"/>
    <w:rsid w:val="006E6EDF"/>
    <w:rsid w:val="006E7E86"/>
    <w:rsid w:val="006F0111"/>
    <w:rsid w:val="006F079A"/>
    <w:rsid w:val="006F1585"/>
    <w:rsid w:val="006F2FE4"/>
    <w:rsid w:val="006F301B"/>
    <w:rsid w:val="006F3957"/>
    <w:rsid w:val="006F4371"/>
    <w:rsid w:val="006F45E9"/>
    <w:rsid w:val="006F4693"/>
    <w:rsid w:val="006F739E"/>
    <w:rsid w:val="006F74DA"/>
    <w:rsid w:val="006F7A37"/>
    <w:rsid w:val="00700014"/>
    <w:rsid w:val="00701A2F"/>
    <w:rsid w:val="007027B6"/>
    <w:rsid w:val="00702DF1"/>
    <w:rsid w:val="00702F09"/>
    <w:rsid w:val="007030DD"/>
    <w:rsid w:val="00704D07"/>
    <w:rsid w:val="00705F82"/>
    <w:rsid w:val="00706716"/>
    <w:rsid w:val="00706912"/>
    <w:rsid w:val="00706B43"/>
    <w:rsid w:val="0071195F"/>
    <w:rsid w:val="00711D36"/>
    <w:rsid w:val="007120D1"/>
    <w:rsid w:val="00712352"/>
    <w:rsid w:val="00712C81"/>
    <w:rsid w:val="00714CE7"/>
    <w:rsid w:val="00716451"/>
    <w:rsid w:val="00716887"/>
    <w:rsid w:val="00716982"/>
    <w:rsid w:val="00716C47"/>
    <w:rsid w:val="007170C7"/>
    <w:rsid w:val="007170C8"/>
    <w:rsid w:val="00720C88"/>
    <w:rsid w:val="00722DE0"/>
    <w:rsid w:val="00722FDC"/>
    <w:rsid w:val="0072318D"/>
    <w:rsid w:val="0072628F"/>
    <w:rsid w:val="00726837"/>
    <w:rsid w:val="00726DFD"/>
    <w:rsid w:val="00727EBD"/>
    <w:rsid w:val="00730BE6"/>
    <w:rsid w:val="00731B01"/>
    <w:rsid w:val="0073251B"/>
    <w:rsid w:val="007328C2"/>
    <w:rsid w:val="00732FD0"/>
    <w:rsid w:val="0073353F"/>
    <w:rsid w:val="00733643"/>
    <w:rsid w:val="00733E1D"/>
    <w:rsid w:val="0073514C"/>
    <w:rsid w:val="007357F7"/>
    <w:rsid w:val="00735E19"/>
    <w:rsid w:val="00736CA8"/>
    <w:rsid w:val="0073784B"/>
    <w:rsid w:val="00740D2A"/>
    <w:rsid w:val="0074137C"/>
    <w:rsid w:val="00742D49"/>
    <w:rsid w:val="0074426A"/>
    <w:rsid w:val="00744DE0"/>
    <w:rsid w:val="007456B3"/>
    <w:rsid w:val="007467F3"/>
    <w:rsid w:val="007474F6"/>
    <w:rsid w:val="00747C27"/>
    <w:rsid w:val="007502BF"/>
    <w:rsid w:val="007503E2"/>
    <w:rsid w:val="007513DD"/>
    <w:rsid w:val="007530D7"/>
    <w:rsid w:val="00753600"/>
    <w:rsid w:val="007546EC"/>
    <w:rsid w:val="00755798"/>
    <w:rsid w:val="00756895"/>
    <w:rsid w:val="0075742F"/>
    <w:rsid w:val="00757B24"/>
    <w:rsid w:val="00762030"/>
    <w:rsid w:val="00762E6A"/>
    <w:rsid w:val="0076395E"/>
    <w:rsid w:val="00763C12"/>
    <w:rsid w:val="00765738"/>
    <w:rsid w:val="00766774"/>
    <w:rsid w:val="0076752E"/>
    <w:rsid w:val="007702AF"/>
    <w:rsid w:val="0077069B"/>
    <w:rsid w:val="00771889"/>
    <w:rsid w:val="007719DD"/>
    <w:rsid w:val="00771E56"/>
    <w:rsid w:val="007734A3"/>
    <w:rsid w:val="007746D7"/>
    <w:rsid w:val="00776FAC"/>
    <w:rsid w:val="00780DAA"/>
    <w:rsid w:val="0078164E"/>
    <w:rsid w:val="00784F7A"/>
    <w:rsid w:val="00790284"/>
    <w:rsid w:val="00790E46"/>
    <w:rsid w:val="00791334"/>
    <w:rsid w:val="00791808"/>
    <w:rsid w:val="00792EB2"/>
    <w:rsid w:val="00793D91"/>
    <w:rsid w:val="00794A95"/>
    <w:rsid w:val="007952C8"/>
    <w:rsid w:val="007952E0"/>
    <w:rsid w:val="00795FEF"/>
    <w:rsid w:val="00796A4B"/>
    <w:rsid w:val="00796BD9"/>
    <w:rsid w:val="007970D0"/>
    <w:rsid w:val="007A02F3"/>
    <w:rsid w:val="007A18EC"/>
    <w:rsid w:val="007A289F"/>
    <w:rsid w:val="007A3113"/>
    <w:rsid w:val="007A3B26"/>
    <w:rsid w:val="007A4062"/>
    <w:rsid w:val="007A4DBC"/>
    <w:rsid w:val="007A586A"/>
    <w:rsid w:val="007B02F2"/>
    <w:rsid w:val="007B0FE9"/>
    <w:rsid w:val="007B1205"/>
    <w:rsid w:val="007B1BD7"/>
    <w:rsid w:val="007B2011"/>
    <w:rsid w:val="007B2AF6"/>
    <w:rsid w:val="007B2E22"/>
    <w:rsid w:val="007B2E6E"/>
    <w:rsid w:val="007B36F3"/>
    <w:rsid w:val="007B38FC"/>
    <w:rsid w:val="007B5194"/>
    <w:rsid w:val="007B55AF"/>
    <w:rsid w:val="007B778C"/>
    <w:rsid w:val="007C1280"/>
    <w:rsid w:val="007C21AF"/>
    <w:rsid w:val="007C2790"/>
    <w:rsid w:val="007C2FEC"/>
    <w:rsid w:val="007C36F2"/>
    <w:rsid w:val="007C4414"/>
    <w:rsid w:val="007C5D0B"/>
    <w:rsid w:val="007C6A25"/>
    <w:rsid w:val="007D0E73"/>
    <w:rsid w:val="007D25EB"/>
    <w:rsid w:val="007D2A05"/>
    <w:rsid w:val="007D596F"/>
    <w:rsid w:val="007D68D1"/>
    <w:rsid w:val="007D6D33"/>
    <w:rsid w:val="007D6E42"/>
    <w:rsid w:val="007E063B"/>
    <w:rsid w:val="007E2A94"/>
    <w:rsid w:val="007E3EDF"/>
    <w:rsid w:val="007E712F"/>
    <w:rsid w:val="007E7356"/>
    <w:rsid w:val="007E7D79"/>
    <w:rsid w:val="007E7F48"/>
    <w:rsid w:val="007F10A6"/>
    <w:rsid w:val="007F34B7"/>
    <w:rsid w:val="007F34CA"/>
    <w:rsid w:val="007F3B5F"/>
    <w:rsid w:val="007F40D9"/>
    <w:rsid w:val="007F53A5"/>
    <w:rsid w:val="007F6630"/>
    <w:rsid w:val="007F6AB3"/>
    <w:rsid w:val="007F7959"/>
    <w:rsid w:val="007F7AB3"/>
    <w:rsid w:val="00801171"/>
    <w:rsid w:val="00801793"/>
    <w:rsid w:val="008023A0"/>
    <w:rsid w:val="0080350C"/>
    <w:rsid w:val="00804A54"/>
    <w:rsid w:val="008063B8"/>
    <w:rsid w:val="00807132"/>
    <w:rsid w:val="00807621"/>
    <w:rsid w:val="0080779A"/>
    <w:rsid w:val="00807F89"/>
    <w:rsid w:val="00811BB3"/>
    <w:rsid w:val="0081215E"/>
    <w:rsid w:val="00814C1E"/>
    <w:rsid w:val="00814E5D"/>
    <w:rsid w:val="00815CFE"/>
    <w:rsid w:val="0081756C"/>
    <w:rsid w:val="00820F42"/>
    <w:rsid w:val="00821039"/>
    <w:rsid w:val="0082156D"/>
    <w:rsid w:val="008221F2"/>
    <w:rsid w:val="00822770"/>
    <w:rsid w:val="00823973"/>
    <w:rsid w:val="00823F25"/>
    <w:rsid w:val="00824CB6"/>
    <w:rsid w:val="008265C1"/>
    <w:rsid w:val="008271E2"/>
    <w:rsid w:val="00827BCE"/>
    <w:rsid w:val="0083014F"/>
    <w:rsid w:val="0083098C"/>
    <w:rsid w:val="00830F39"/>
    <w:rsid w:val="0083131B"/>
    <w:rsid w:val="008340EB"/>
    <w:rsid w:val="008358D9"/>
    <w:rsid w:val="00836354"/>
    <w:rsid w:val="00840A92"/>
    <w:rsid w:val="00840B66"/>
    <w:rsid w:val="00840BF9"/>
    <w:rsid w:val="00840E47"/>
    <w:rsid w:val="008419AD"/>
    <w:rsid w:val="00841BD2"/>
    <w:rsid w:val="00841F67"/>
    <w:rsid w:val="00842091"/>
    <w:rsid w:val="0084271F"/>
    <w:rsid w:val="008448CF"/>
    <w:rsid w:val="00844FB1"/>
    <w:rsid w:val="0084570C"/>
    <w:rsid w:val="00845AE4"/>
    <w:rsid w:val="00845C6A"/>
    <w:rsid w:val="00845DD9"/>
    <w:rsid w:val="00845E85"/>
    <w:rsid w:val="00847491"/>
    <w:rsid w:val="00850335"/>
    <w:rsid w:val="0085192F"/>
    <w:rsid w:val="00852A39"/>
    <w:rsid w:val="0085448C"/>
    <w:rsid w:val="0085486A"/>
    <w:rsid w:val="00854B94"/>
    <w:rsid w:val="00855A2B"/>
    <w:rsid w:val="0085781E"/>
    <w:rsid w:val="00862424"/>
    <w:rsid w:val="0086509E"/>
    <w:rsid w:val="00866147"/>
    <w:rsid w:val="00867592"/>
    <w:rsid w:val="00867BCF"/>
    <w:rsid w:val="008709EE"/>
    <w:rsid w:val="00871026"/>
    <w:rsid w:val="0087128A"/>
    <w:rsid w:val="0087134E"/>
    <w:rsid w:val="008722B8"/>
    <w:rsid w:val="00872A1E"/>
    <w:rsid w:val="00873762"/>
    <w:rsid w:val="00873A75"/>
    <w:rsid w:val="008742C5"/>
    <w:rsid w:val="00874D12"/>
    <w:rsid w:val="00874DF6"/>
    <w:rsid w:val="00876F63"/>
    <w:rsid w:val="008776A3"/>
    <w:rsid w:val="0087796E"/>
    <w:rsid w:val="00877BC8"/>
    <w:rsid w:val="008811AA"/>
    <w:rsid w:val="008813F6"/>
    <w:rsid w:val="008819CD"/>
    <w:rsid w:val="00881BD1"/>
    <w:rsid w:val="008828F8"/>
    <w:rsid w:val="008833AC"/>
    <w:rsid w:val="0088389D"/>
    <w:rsid w:val="008846BE"/>
    <w:rsid w:val="00884C78"/>
    <w:rsid w:val="00884D43"/>
    <w:rsid w:val="00884EF4"/>
    <w:rsid w:val="00885372"/>
    <w:rsid w:val="0088550B"/>
    <w:rsid w:val="008858E9"/>
    <w:rsid w:val="0088600D"/>
    <w:rsid w:val="00887B32"/>
    <w:rsid w:val="00887FC4"/>
    <w:rsid w:val="008902C6"/>
    <w:rsid w:val="00890B3F"/>
    <w:rsid w:val="00891BE5"/>
    <w:rsid w:val="0089648A"/>
    <w:rsid w:val="008964C4"/>
    <w:rsid w:val="00896A88"/>
    <w:rsid w:val="008978F1"/>
    <w:rsid w:val="00897B81"/>
    <w:rsid w:val="00897EA2"/>
    <w:rsid w:val="008A30F4"/>
    <w:rsid w:val="008A5BD1"/>
    <w:rsid w:val="008A6B69"/>
    <w:rsid w:val="008B052E"/>
    <w:rsid w:val="008B05B0"/>
    <w:rsid w:val="008B1C21"/>
    <w:rsid w:val="008B1DE8"/>
    <w:rsid w:val="008B2B34"/>
    <w:rsid w:val="008B46C6"/>
    <w:rsid w:val="008B5930"/>
    <w:rsid w:val="008B59D4"/>
    <w:rsid w:val="008B6721"/>
    <w:rsid w:val="008B7D4C"/>
    <w:rsid w:val="008C0F33"/>
    <w:rsid w:val="008C22FB"/>
    <w:rsid w:val="008C2CC0"/>
    <w:rsid w:val="008C3DF2"/>
    <w:rsid w:val="008C40EA"/>
    <w:rsid w:val="008C4D70"/>
    <w:rsid w:val="008C4F54"/>
    <w:rsid w:val="008C5262"/>
    <w:rsid w:val="008C64DC"/>
    <w:rsid w:val="008D0B12"/>
    <w:rsid w:val="008D0FE4"/>
    <w:rsid w:val="008D10CB"/>
    <w:rsid w:val="008D10F9"/>
    <w:rsid w:val="008D171F"/>
    <w:rsid w:val="008D17AC"/>
    <w:rsid w:val="008D1F41"/>
    <w:rsid w:val="008D3607"/>
    <w:rsid w:val="008D446A"/>
    <w:rsid w:val="008D5388"/>
    <w:rsid w:val="008D5FB7"/>
    <w:rsid w:val="008D6031"/>
    <w:rsid w:val="008D6814"/>
    <w:rsid w:val="008D72F3"/>
    <w:rsid w:val="008E0612"/>
    <w:rsid w:val="008E09CE"/>
    <w:rsid w:val="008E3060"/>
    <w:rsid w:val="008E307D"/>
    <w:rsid w:val="008E3108"/>
    <w:rsid w:val="008E5D26"/>
    <w:rsid w:val="008E66CB"/>
    <w:rsid w:val="008F0E5D"/>
    <w:rsid w:val="008F48F6"/>
    <w:rsid w:val="008F7749"/>
    <w:rsid w:val="0090021E"/>
    <w:rsid w:val="009006AF"/>
    <w:rsid w:val="00900B7C"/>
    <w:rsid w:val="009010D3"/>
    <w:rsid w:val="00902512"/>
    <w:rsid w:val="0090458C"/>
    <w:rsid w:val="00904D2E"/>
    <w:rsid w:val="00906373"/>
    <w:rsid w:val="00907954"/>
    <w:rsid w:val="00911526"/>
    <w:rsid w:val="00911625"/>
    <w:rsid w:val="009116E8"/>
    <w:rsid w:val="0091233C"/>
    <w:rsid w:val="009145D5"/>
    <w:rsid w:val="00914DF6"/>
    <w:rsid w:val="00915A29"/>
    <w:rsid w:val="00915DC7"/>
    <w:rsid w:val="0091759F"/>
    <w:rsid w:val="00920B8C"/>
    <w:rsid w:val="00921508"/>
    <w:rsid w:val="0092179B"/>
    <w:rsid w:val="00922099"/>
    <w:rsid w:val="00925345"/>
    <w:rsid w:val="00925D8D"/>
    <w:rsid w:val="00925E4D"/>
    <w:rsid w:val="009266D4"/>
    <w:rsid w:val="00926962"/>
    <w:rsid w:val="009275DF"/>
    <w:rsid w:val="00927FDD"/>
    <w:rsid w:val="00927FF4"/>
    <w:rsid w:val="009312C6"/>
    <w:rsid w:val="009315C6"/>
    <w:rsid w:val="00932996"/>
    <w:rsid w:val="00932D55"/>
    <w:rsid w:val="0093331F"/>
    <w:rsid w:val="00934401"/>
    <w:rsid w:val="00935C7B"/>
    <w:rsid w:val="0093620E"/>
    <w:rsid w:val="00936B06"/>
    <w:rsid w:val="00937AFC"/>
    <w:rsid w:val="0094012A"/>
    <w:rsid w:val="00940365"/>
    <w:rsid w:val="00941D02"/>
    <w:rsid w:val="00941D0F"/>
    <w:rsid w:val="009424DA"/>
    <w:rsid w:val="009463C4"/>
    <w:rsid w:val="00946CE3"/>
    <w:rsid w:val="00947260"/>
    <w:rsid w:val="00950731"/>
    <w:rsid w:val="00950A3D"/>
    <w:rsid w:val="00950AF9"/>
    <w:rsid w:val="00950BD8"/>
    <w:rsid w:val="00951326"/>
    <w:rsid w:val="00951527"/>
    <w:rsid w:val="00952FBF"/>
    <w:rsid w:val="0095484B"/>
    <w:rsid w:val="00955E79"/>
    <w:rsid w:val="00956416"/>
    <w:rsid w:val="00957215"/>
    <w:rsid w:val="009608CB"/>
    <w:rsid w:val="00960BB5"/>
    <w:rsid w:val="00960C58"/>
    <w:rsid w:val="00960D33"/>
    <w:rsid w:val="0096189E"/>
    <w:rsid w:val="00961906"/>
    <w:rsid w:val="009624B9"/>
    <w:rsid w:val="009637E2"/>
    <w:rsid w:val="00963B0D"/>
    <w:rsid w:val="0096490F"/>
    <w:rsid w:val="00964DC3"/>
    <w:rsid w:val="0096685B"/>
    <w:rsid w:val="00966F45"/>
    <w:rsid w:val="009673B6"/>
    <w:rsid w:val="00967ADF"/>
    <w:rsid w:val="00971FD4"/>
    <w:rsid w:val="00972CA5"/>
    <w:rsid w:val="009740E4"/>
    <w:rsid w:val="00976792"/>
    <w:rsid w:val="00976BD7"/>
    <w:rsid w:val="0097712C"/>
    <w:rsid w:val="00977DEE"/>
    <w:rsid w:val="00981547"/>
    <w:rsid w:val="00981C0E"/>
    <w:rsid w:val="009822F4"/>
    <w:rsid w:val="00983178"/>
    <w:rsid w:val="00983607"/>
    <w:rsid w:val="0098363A"/>
    <w:rsid w:val="00983A93"/>
    <w:rsid w:val="0098454B"/>
    <w:rsid w:val="00985335"/>
    <w:rsid w:val="00985DC6"/>
    <w:rsid w:val="0098744F"/>
    <w:rsid w:val="0099146C"/>
    <w:rsid w:val="00993DA5"/>
    <w:rsid w:val="00994828"/>
    <w:rsid w:val="00994E7C"/>
    <w:rsid w:val="0099641D"/>
    <w:rsid w:val="009A0454"/>
    <w:rsid w:val="009A1C06"/>
    <w:rsid w:val="009A2E6D"/>
    <w:rsid w:val="009A2F6F"/>
    <w:rsid w:val="009A7C76"/>
    <w:rsid w:val="009A7E07"/>
    <w:rsid w:val="009A7E46"/>
    <w:rsid w:val="009B1BD5"/>
    <w:rsid w:val="009B2863"/>
    <w:rsid w:val="009B2A77"/>
    <w:rsid w:val="009B3946"/>
    <w:rsid w:val="009B4728"/>
    <w:rsid w:val="009B5662"/>
    <w:rsid w:val="009B59E0"/>
    <w:rsid w:val="009B6437"/>
    <w:rsid w:val="009C106E"/>
    <w:rsid w:val="009C1947"/>
    <w:rsid w:val="009C22BA"/>
    <w:rsid w:val="009C233C"/>
    <w:rsid w:val="009C2620"/>
    <w:rsid w:val="009C35F9"/>
    <w:rsid w:val="009C369C"/>
    <w:rsid w:val="009C4299"/>
    <w:rsid w:val="009C47F8"/>
    <w:rsid w:val="009C5E6A"/>
    <w:rsid w:val="009C7341"/>
    <w:rsid w:val="009C77E9"/>
    <w:rsid w:val="009C786C"/>
    <w:rsid w:val="009C7A51"/>
    <w:rsid w:val="009D1323"/>
    <w:rsid w:val="009D13E8"/>
    <w:rsid w:val="009D14E2"/>
    <w:rsid w:val="009D164E"/>
    <w:rsid w:val="009D1ACF"/>
    <w:rsid w:val="009D484C"/>
    <w:rsid w:val="009D51B2"/>
    <w:rsid w:val="009D57C4"/>
    <w:rsid w:val="009D5DE1"/>
    <w:rsid w:val="009D726C"/>
    <w:rsid w:val="009D7BA0"/>
    <w:rsid w:val="009E2C3C"/>
    <w:rsid w:val="009E2E02"/>
    <w:rsid w:val="009E4AAD"/>
    <w:rsid w:val="009E5FA1"/>
    <w:rsid w:val="009E71F7"/>
    <w:rsid w:val="009F0197"/>
    <w:rsid w:val="009F0542"/>
    <w:rsid w:val="009F0A21"/>
    <w:rsid w:val="009F1F6D"/>
    <w:rsid w:val="009F2074"/>
    <w:rsid w:val="009F286A"/>
    <w:rsid w:val="009F32CC"/>
    <w:rsid w:val="009F3DC6"/>
    <w:rsid w:val="009F3E6C"/>
    <w:rsid w:val="009F62D0"/>
    <w:rsid w:val="009F6845"/>
    <w:rsid w:val="009F6CCD"/>
    <w:rsid w:val="009F73B1"/>
    <w:rsid w:val="00A00824"/>
    <w:rsid w:val="00A01C26"/>
    <w:rsid w:val="00A02270"/>
    <w:rsid w:val="00A045B4"/>
    <w:rsid w:val="00A05247"/>
    <w:rsid w:val="00A05BA3"/>
    <w:rsid w:val="00A05F1F"/>
    <w:rsid w:val="00A079C7"/>
    <w:rsid w:val="00A10895"/>
    <w:rsid w:val="00A113ED"/>
    <w:rsid w:val="00A11438"/>
    <w:rsid w:val="00A1147E"/>
    <w:rsid w:val="00A11F52"/>
    <w:rsid w:val="00A120C1"/>
    <w:rsid w:val="00A1248B"/>
    <w:rsid w:val="00A14520"/>
    <w:rsid w:val="00A1544B"/>
    <w:rsid w:val="00A1573C"/>
    <w:rsid w:val="00A174A2"/>
    <w:rsid w:val="00A17B68"/>
    <w:rsid w:val="00A20233"/>
    <w:rsid w:val="00A20265"/>
    <w:rsid w:val="00A2039F"/>
    <w:rsid w:val="00A203BD"/>
    <w:rsid w:val="00A20EF3"/>
    <w:rsid w:val="00A20F3C"/>
    <w:rsid w:val="00A2387F"/>
    <w:rsid w:val="00A2692E"/>
    <w:rsid w:val="00A26998"/>
    <w:rsid w:val="00A26A43"/>
    <w:rsid w:val="00A27023"/>
    <w:rsid w:val="00A270A4"/>
    <w:rsid w:val="00A30436"/>
    <w:rsid w:val="00A3085C"/>
    <w:rsid w:val="00A3100E"/>
    <w:rsid w:val="00A310C5"/>
    <w:rsid w:val="00A3154E"/>
    <w:rsid w:val="00A33277"/>
    <w:rsid w:val="00A3439A"/>
    <w:rsid w:val="00A344EF"/>
    <w:rsid w:val="00A35839"/>
    <w:rsid w:val="00A42E34"/>
    <w:rsid w:val="00A431CC"/>
    <w:rsid w:val="00A43555"/>
    <w:rsid w:val="00A4433E"/>
    <w:rsid w:val="00A4730B"/>
    <w:rsid w:val="00A50C90"/>
    <w:rsid w:val="00A50DC6"/>
    <w:rsid w:val="00A51139"/>
    <w:rsid w:val="00A51C5A"/>
    <w:rsid w:val="00A52679"/>
    <w:rsid w:val="00A52769"/>
    <w:rsid w:val="00A529D5"/>
    <w:rsid w:val="00A52BAF"/>
    <w:rsid w:val="00A52FD0"/>
    <w:rsid w:val="00A54036"/>
    <w:rsid w:val="00A54DEF"/>
    <w:rsid w:val="00A56293"/>
    <w:rsid w:val="00A57BF3"/>
    <w:rsid w:val="00A60F8B"/>
    <w:rsid w:val="00A648A6"/>
    <w:rsid w:val="00A67F09"/>
    <w:rsid w:val="00A70A73"/>
    <w:rsid w:val="00A734A7"/>
    <w:rsid w:val="00A74BBE"/>
    <w:rsid w:val="00A75D5F"/>
    <w:rsid w:val="00A76A13"/>
    <w:rsid w:val="00A77C8C"/>
    <w:rsid w:val="00A80E13"/>
    <w:rsid w:val="00A80F30"/>
    <w:rsid w:val="00A826A6"/>
    <w:rsid w:val="00A83C60"/>
    <w:rsid w:val="00A8502C"/>
    <w:rsid w:val="00A855D0"/>
    <w:rsid w:val="00A8572B"/>
    <w:rsid w:val="00A8657E"/>
    <w:rsid w:val="00A87A6A"/>
    <w:rsid w:val="00A900E3"/>
    <w:rsid w:val="00A90374"/>
    <w:rsid w:val="00A90B9D"/>
    <w:rsid w:val="00A91613"/>
    <w:rsid w:val="00A91A45"/>
    <w:rsid w:val="00A927ED"/>
    <w:rsid w:val="00A932CD"/>
    <w:rsid w:val="00A93680"/>
    <w:rsid w:val="00A952EB"/>
    <w:rsid w:val="00A979CD"/>
    <w:rsid w:val="00AA05A5"/>
    <w:rsid w:val="00AA065D"/>
    <w:rsid w:val="00AA14EC"/>
    <w:rsid w:val="00AA1566"/>
    <w:rsid w:val="00AA1E38"/>
    <w:rsid w:val="00AA1F51"/>
    <w:rsid w:val="00AA2FA9"/>
    <w:rsid w:val="00AA36CC"/>
    <w:rsid w:val="00AA44BE"/>
    <w:rsid w:val="00AA5A64"/>
    <w:rsid w:val="00AA77ED"/>
    <w:rsid w:val="00AB02A2"/>
    <w:rsid w:val="00AB05E7"/>
    <w:rsid w:val="00AB06BC"/>
    <w:rsid w:val="00AB074F"/>
    <w:rsid w:val="00AB0EAC"/>
    <w:rsid w:val="00AB1232"/>
    <w:rsid w:val="00AB151E"/>
    <w:rsid w:val="00AB3496"/>
    <w:rsid w:val="00AB4922"/>
    <w:rsid w:val="00AB5392"/>
    <w:rsid w:val="00AB5909"/>
    <w:rsid w:val="00AC16AC"/>
    <w:rsid w:val="00AC19F8"/>
    <w:rsid w:val="00AC1FF2"/>
    <w:rsid w:val="00AC3302"/>
    <w:rsid w:val="00AC3685"/>
    <w:rsid w:val="00AC467A"/>
    <w:rsid w:val="00AC6051"/>
    <w:rsid w:val="00AC6135"/>
    <w:rsid w:val="00AC7832"/>
    <w:rsid w:val="00AC7867"/>
    <w:rsid w:val="00AD00AC"/>
    <w:rsid w:val="00AD1252"/>
    <w:rsid w:val="00AD16D0"/>
    <w:rsid w:val="00AD2288"/>
    <w:rsid w:val="00AD349B"/>
    <w:rsid w:val="00AD520F"/>
    <w:rsid w:val="00AE04B7"/>
    <w:rsid w:val="00AE2520"/>
    <w:rsid w:val="00AE52D5"/>
    <w:rsid w:val="00AE7BF9"/>
    <w:rsid w:val="00AF04B5"/>
    <w:rsid w:val="00AF13DE"/>
    <w:rsid w:val="00AF241E"/>
    <w:rsid w:val="00AF29D9"/>
    <w:rsid w:val="00AF382B"/>
    <w:rsid w:val="00AF4506"/>
    <w:rsid w:val="00AF5394"/>
    <w:rsid w:val="00AF5926"/>
    <w:rsid w:val="00AF5C92"/>
    <w:rsid w:val="00AF6654"/>
    <w:rsid w:val="00B002DB"/>
    <w:rsid w:val="00B00FF0"/>
    <w:rsid w:val="00B03839"/>
    <w:rsid w:val="00B049B2"/>
    <w:rsid w:val="00B06AE3"/>
    <w:rsid w:val="00B0784C"/>
    <w:rsid w:val="00B110B9"/>
    <w:rsid w:val="00B1137A"/>
    <w:rsid w:val="00B11520"/>
    <w:rsid w:val="00B1388C"/>
    <w:rsid w:val="00B14504"/>
    <w:rsid w:val="00B14BE8"/>
    <w:rsid w:val="00B15206"/>
    <w:rsid w:val="00B15D95"/>
    <w:rsid w:val="00B17866"/>
    <w:rsid w:val="00B17CFF"/>
    <w:rsid w:val="00B22D71"/>
    <w:rsid w:val="00B239F9"/>
    <w:rsid w:val="00B24047"/>
    <w:rsid w:val="00B244EF"/>
    <w:rsid w:val="00B2471F"/>
    <w:rsid w:val="00B255C8"/>
    <w:rsid w:val="00B26365"/>
    <w:rsid w:val="00B27E1F"/>
    <w:rsid w:val="00B3002D"/>
    <w:rsid w:val="00B301DE"/>
    <w:rsid w:val="00B3063E"/>
    <w:rsid w:val="00B30DE1"/>
    <w:rsid w:val="00B3253D"/>
    <w:rsid w:val="00B32AF9"/>
    <w:rsid w:val="00B33E50"/>
    <w:rsid w:val="00B343AA"/>
    <w:rsid w:val="00B34896"/>
    <w:rsid w:val="00B3648B"/>
    <w:rsid w:val="00B36AE8"/>
    <w:rsid w:val="00B36F32"/>
    <w:rsid w:val="00B3762A"/>
    <w:rsid w:val="00B37ECC"/>
    <w:rsid w:val="00B401DC"/>
    <w:rsid w:val="00B43A42"/>
    <w:rsid w:val="00B4409C"/>
    <w:rsid w:val="00B45CDE"/>
    <w:rsid w:val="00B465C3"/>
    <w:rsid w:val="00B47CC2"/>
    <w:rsid w:val="00B5176B"/>
    <w:rsid w:val="00B518C8"/>
    <w:rsid w:val="00B523F7"/>
    <w:rsid w:val="00B53F94"/>
    <w:rsid w:val="00B5413E"/>
    <w:rsid w:val="00B544AA"/>
    <w:rsid w:val="00B563F0"/>
    <w:rsid w:val="00B5732D"/>
    <w:rsid w:val="00B57B93"/>
    <w:rsid w:val="00B628E6"/>
    <w:rsid w:val="00B6317B"/>
    <w:rsid w:val="00B64D40"/>
    <w:rsid w:val="00B66695"/>
    <w:rsid w:val="00B667F6"/>
    <w:rsid w:val="00B66C12"/>
    <w:rsid w:val="00B67767"/>
    <w:rsid w:val="00B67DB9"/>
    <w:rsid w:val="00B71233"/>
    <w:rsid w:val="00B72A59"/>
    <w:rsid w:val="00B73A5D"/>
    <w:rsid w:val="00B74AD3"/>
    <w:rsid w:val="00B74B40"/>
    <w:rsid w:val="00B75A0E"/>
    <w:rsid w:val="00B77949"/>
    <w:rsid w:val="00B8011D"/>
    <w:rsid w:val="00B81D05"/>
    <w:rsid w:val="00B82581"/>
    <w:rsid w:val="00B842E3"/>
    <w:rsid w:val="00B86005"/>
    <w:rsid w:val="00B874B9"/>
    <w:rsid w:val="00B90316"/>
    <w:rsid w:val="00B9070D"/>
    <w:rsid w:val="00B919DE"/>
    <w:rsid w:val="00B91B5B"/>
    <w:rsid w:val="00B934BF"/>
    <w:rsid w:val="00B93C3C"/>
    <w:rsid w:val="00B95C3F"/>
    <w:rsid w:val="00B964D0"/>
    <w:rsid w:val="00B96FF3"/>
    <w:rsid w:val="00B97D38"/>
    <w:rsid w:val="00BA032B"/>
    <w:rsid w:val="00BA05A3"/>
    <w:rsid w:val="00BA0D64"/>
    <w:rsid w:val="00BA19E2"/>
    <w:rsid w:val="00BA4247"/>
    <w:rsid w:val="00BA7BC5"/>
    <w:rsid w:val="00BB0B3F"/>
    <w:rsid w:val="00BB210D"/>
    <w:rsid w:val="00BB2BF3"/>
    <w:rsid w:val="00BB6F17"/>
    <w:rsid w:val="00BB705A"/>
    <w:rsid w:val="00BB7770"/>
    <w:rsid w:val="00BC3733"/>
    <w:rsid w:val="00BC45A9"/>
    <w:rsid w:val="00BC4819"/>
    <w:rsid w:val="00BC5860"/>
    <w:rsid w:val="00BD00E2"/>
    <w:rsid w:val="00BD0614"/>
    <w:rsid w:val="00BD0D95"/>
    <w:rsid w:val="00BD1BFF"/>
    <w:rsid w:val="00BD1E26"/>
    <w:rsid w:val="00BD2D78"/>
    <w:rsid w:val="00BD3F4C"/>
    <w:rsid w:val="00BD40F0"/>
    <w:rsid w:val="00BD4D1A"/>
    <w:rsid w:val="00BD5591"/>
    <w:rsid w:val="00BD5E21"/>
    <w:rsid w:val="00BD712E"/>
    <w:rsid w:val="00BE0816"/>
    <w:rsid w:val="00BE0E42"/>
    <w:rsid w:val="00BE1561"/>
    <w:rsid w:val="00BE4907"/>
    <w:rsid w:val="00BE49E8"/>
    <w:rsid w:val="00BE5768"/>
    <w:rsid w:val="00BE609D"/>
    <w:rsid w:val="00BE67AA"/>
    <w:rsid w:val="00BE70AF"/>
    <w:rsid w:val="00BE7368"/>
    <w:rsid w:val="00BE7459"/>
    <w:rsid w:val="00BF0906"/>
    <w:rsid w:val="00BF0D43"/>
    <w:rsid w:val="00BF0D85"/>
    <w:rsid w:val="00BF1441"/>
    <w:rsid w:val="00BF21B1"/>
    <w:rsid w:val="00BF319B"/>
    <w:rsid w:val="00BF3E1F"/>
    <w:rsid w:val="00BF425B"/>
    <w:rsid w:val="00BF59DF"/>
    <w:rsid w:val="00BF6831"/>
    <w:rsid w:val="00BF7137"/>
    <w:rsid w:val="00C00597"/>
    <w:rsid w:val="00C00CA8"/>
    <w:rsid w:val="00C014FD"/>
    <w:rsid w:val="00C019A5"/>
    <w:rsid w:val="00C025B2"/>
    <w:rsid w:val="00C02BD6"/>
    <w:rsid w:val="00C03834"/>
    <w:rsid w:val="00C04283"/>
    <w:rsid w:val="00C11C82"/>
    <w:rsid w:val="00C12DA4"/>
    <w:rsid w:val="00C13D67"/>
    <w:rsid w:val="00C14407"/>
    <w:rsid w:val="00C152DA"/>
    <w:rsid w:val="00C15716"/>
    <w:rsid w:val="00C15BC7"/>
    <w:rsid w:val="00C1720A"/>
    <w:rsid w:val="00C17434"/>
    <w:rsid w:val="00C17D6C"/>
    <w:rsid w:val="00C20EB7"/>
    <w:rsid w:val="00C20FEC"/>
    <w:rsid w:val="00C21804"/>
    <w:rsid w:val="00C23E29"/>
    <w:rsid w:val="00C27AEA"/>
    <w:rsid w:val="00C30FEE"/>
    <w:rsid w:val="00C31081"/>
    <w:rsid w:val="00C311DF"/>
    <w:rsid w:val="00C32DD3"/>
    <w:rsid w:val="00C32EAB"/>
    <w:rsid w:val="00C335C7"/>
    <w:rsid w:val="00C353CD"/>
    <w:rsid w:val="00C35B45"/>
    <w:rsid w:val="00C37E26"/>
    <w:rsid w:val="00C402E7"/>
    <w:rsid w:val="00C418AC"/>
    <w:rsid w:val="00C427F3"/>
    <w:rsid w:val="00C43E6A"/>
    <w:rsid w:val="00C44A52"/>
    <w:rsid w:val="00C453AB"/>
    <w:rsid w:val="00C459EE"/>
    <w:rsid w:val="00C4649A"/>
    <w:rsid w:val="00C46884"/>
    <w:rsid w:val="00C469FF"/>
    <w:rsid w:val="00C47B1B"/>
    <w:rsid w:val="00C47CFA"/>
    <w:rsid w:val="00C52090"/>
    <w:rsid w:val="00C520CC"/>
    <w:rsid w:val="00C52D5C"/>
    <w:rsid w:val="00C54AE4"/>
    <w:rsid w:val="00C55485"/>
    <w:rsid w:val="00C57A66"/>
    <w:rsid w:val="00C57D35"/>
    <w:rsid w:val="00C612ED"/>
    <w:rsid w:val="00C6313D"/>
    <w:rsid w:val="00C6490D"/>
    <w:rsid w:val="00C64A74"/>
    <w:rsid w:val="00C66292"/>
    <w:rsid w:val="00C673D4"/>
    <w:rsid w:val="00C67771"/>
    <w:rsid w:val="00C7007B"/>
    <w:rsid w:val="00C7025B"/>
    <w:rsid w:val="00C702FB"/>
    <w:rsid w:val="00C70A78"/>
    <w:rsid w:val="00C71371"/>
    <w:rsid w:val="00C728C4"/>
    <w:rsid w:val="00C72D59"/>
    <w:rsid w:val="00C73EC9"/>
    <w:rsid w:val="00C75C32"/>
    <w:rsid w:val="00C77224"/>
    <w:rsid w:val="00C777D9"/>
    <w:rsid w:val="00C80ACD"/>
    <w:rsid w:val="00C80C94"/>
    <w:rsid w:val="00C81BAA"/>
    <w:rsid w:val="00C82D98"/>
    <w:rsid w:val="00C82ECF"/>
    <w:rsid w:val="00C83EB6"/>
    <w:rsid w:val="00C84A0D"/>
    <w:rsid w:val="00C857AF"/>
    <w:rsid w:val="00C8617C"/>
    <w:rsid w:val="00C8647E"/>
    <w:rsid w:val="00C86986"/>
    <w:rsid w:val="00C90D13"/>
    <w:rsid w:val="00C9117B"/>
    <w:rsid w:val="00C9176A"/>
    <w:rsid w:val="00C919B3"/>
    <w:rsid w:val="00C92CAC"/>
    <w:rsid w:val="00C92D4C"/>
    <w:rsid w:val="00C93CF1"/>
    <w:rsid w:val="00C941F6"/>
    <w:rsid w:val="00C95DCB"/>
    <w:rsid w:val="00C976B4"/>
    <w:rsid w:val="00C97E64"/>
    <w:rsid w:val="00CA04EE"/>
    <w:rsid w:val="00CA06AD"/>
    <w:rsid w:val="00CA090C"/>
    <w:rsid w:val="00CA0CF6"/>
    <w:rsid w:val="00CA0F62"/>
    <w:rsid w:val="00CA1B86"/>
    <w:rsid w:val="00CA2573"/>
    <w:rsid w:val="00CA2B06"/>
    <w:rsid w:val="00CA54F6"/>
    <w:rsid w:val="00CA58EC"/>
    <w:rsid w:val="00CB1772"/>
    <w:rsid w:val="00CB344B"/>
    <w:rsid w:val="00CB3C76"/>
    <w:rsid w:val="00CB48E4"/>
    <w:rsid w:val="00CB6912"/>
    <w:rsid w:val="00CC054F"/>
    <w:rsid w:val="00CC1F85"/>
    <w:rsid w:val="00CC28E2"/>
    <w:rsid w:val="00CC3317"/>
    <w:rsid w:val="00CC52A9"/>
    <w:rsid w:val="00CC54E7"/>
    <w:rsid w:val="00CC55CF"/>
    <w:rsid w:val="00CC6E07"/>
    <w:rsid w:val="00CC7B67"/>
    <w:rsid w:val="00CD326A"/>
    <w:rsid w:val="00CD3414"/>
    <w:rsid w:val="00CD4FF5"/>
    <w:rsid w:val="00CD628B"/>
    <w:rsid w:val="00CD761F"/>
    <w:rsid w:val="00CE03C1"/>
    <w:rsid w:val="00CE0D16"/>
    <w:rsid w:val="00CE108D"/>
    <w:rsid w:val="00CE18CA"/>
    <w:rsid w:val="00CE1B16"/>
    <w:rsid w:val="00CE2311"/>
    <w:rsid w:val="00CE31B7"/>
    <w:rsid w:val="00CE3310"/>
    <w:rsid w:val="00CE352C"/>
    <w:rsid w:val="00CE3970"/>
    <w:rsid w:val="00CE3A1B"/>
    <w:rsid w:val="00CE3D1C"/>
    <w:rsid w:val="00CE4228"/>
    <w:rsid w:val="00CE4E45"/>
    <w:rsid w:val="00CE5B24"/>
    <w:rsid w:val="00CE5D93"/>
    <w:rsid w:val="00CE79A4"/>
    <w:rsid w:val="00CF2A48"/>
    <w:rsid w:val="00CF2ADC"/>
    <w:rsid w:val="00CF6CA2"/>
    <w:rsid w:val="00D01AB4"/>
    <w:rsid w:val="00D02052"/>
    <w:rsid w:val="00D02E1B"/>
    <w:rsid w:val="00D03CE1"/>
    <w:rsid w:val="00D03F66"/>
    <w:rsid w:val="00D0485B"/>
    <w:rsid w:val="00D052F4"/>
    <w:rsid w:val="00D067B8"/>
    <w:rsid w:val="00D07061"/>
    <w:rsid w:val="00D07445"/>
    <w:rsid w:val="00D07609"/>
    <w:rsid w:val="00D07943"/>
    <w:rsid w:val="00D07F1A"/>
    <w:rsid w:val="00D11479"/>
    <w:rsid w:val="00D11E81"/>
    <w:rsid w:val="00D126EE"/>
    <w:rsid w:val="00D127EA"/>
    <w:rsid w:val="00D145D8"/>
    <w:rsid w:val="00D14D21"/>
    <w:rsid w:val="00D14DF9"/>
    <w:rsid w:val="00D15C60"/>
    <w:rsid w:val="00D16CE4"/>
    <w:rsid w:val="00D17C71"/>
    <w:rsid w:val="00D2118A"/>
    <w:rsid w:val="00D225B9"/>
    <w:rsid w:val="00D225CF"/>
    <w:rsid w:val="00D231D6"/>
    <w:rsid w:val="00D24F42"/>
    <w:rsid w:val="00D25145"/>
    <w:rsid w:val="00D2585C"/>
    <w:rsid w:val="00D258BA"/>
    <w:rsid w:val="00D261CF"/>
    <w:rsid w:val="00D262E2"/>
    <w:rsid w:val="00D2679D"/>
    <w:rsid w:val="00D30097"/>
    <w:rsid w:val="00D3095F"/>
    <w:rsid w:val="00D30AF0"/>
    <w:rsid w:val="00D31BDF"/>
    <w:rsid w:val="00D3355C"/>
    <w:rsid w:val="00D338D7"/>
    <w:rsid w:val="00D3482A"/>
    <w:rsid w:val="00D34F39"/>
    <w:rsid w:val="00D371C7"/>
    <w:rsid w:val="00D421D3"/>
    <w:rsid w:val="00D42FF3"/>
    <w:rsid w:val="00D43B0A"/>
    <w:rsid w:val="00D43E43"/>
    <w:rsid w:val="00D43FEC"/>
    <w:rsid w:val="00D44968"/>
    <w:rsid w:val="00D45C83"/>
    <w:rsid w:val="00D471F3"/>
    <w:rsid w:val="00D47B19"/>
    <w:rsid w:val="00D47BBF"/>
    <w:rsid w:val="00D508EB"/>
    <w:rsid w:val="00D52DF0"/>
    <w:rsid w:val="00D53283"/>
    <w:rsid w:val="00D533DE"/>
    <w:rsid w:val="00D551A3"/>
    <w:rsid w:val="00D56306"/>
    <w:rsid w:val="00D5731E"/>
    <w:rsid w:val="00D57702"/>
    <w:rsid w:val="00D60043"/>
    <w:rsid w:val="00D6013F"/>
    <w:rsid w:val="00D616F6"/>
    <w:rsid w:val="00D61A0E"/>
    <w:rsid w:val="00D6278A"/>
    <w:rsid w:val="00D62DEA"/>
    <w:rsid w:val="00D63B79"/>
    <w:rsid w:val="00D63E35"/>
    <w:rsid w:val="00D63ED8"/>
    <w:rsid w:val="00D64DAA"/>
    <w:rsid w:val="00D6522B"/>
    <w:rsid w:val="00D66B18"/>
    <w:rsid w:val="00D66EBC"/>
    <w:rsid w:val="00D6718E"/>
    <w:rsid w:val="00D67A58"/>
    <w:rsid w:val="00D67FCF"/>
    <w:rsid w:val="00D72BAF"/>
    <w:rsid w:val="00D73290"/>
    <w:rsid w:val="00D73EA8"/>
    <w:rsid w:val="00D74B61"/>
    <w:rsid w:val="00D75D19"/>
    <w:rsid w:val="00D75FA2"/>
    <w:rsid w:val="00D7772F"/>
    <w:rsid w:val="00D8043D"/>
    <w:rsid w:val="00D81A06"/>
    <w:rsid w:val="00D833B9"/>
    <w:rsid w:val="00D83D0D"/>
    <w:rsid w:val="00D84B0F"/>
    <w:rsid w:val="00D8507D"/>
    <w:rsid w:val="00D86C4E"/>
    <w:rsid w:val="00D87F4A"/>
    <w:rsid w:val="00D9108D"/>
    <w:rsid w:val="00D915E8"/>
    <w:rsid w:val="00D916B7"/>
    <w:rsid w:val="00D924C4"/>
    <w:rsid w:val="00D92C3F"/>
    <w:rsid w:val="00D93690"/>
    <w:rsid w:val="00D93804"/>
    <w:rsid w:val="00D968A6"/>
    <w:rsid w:val="00D96F5F"/>
    <w:rsid w:val="00DA0872"/>
    <w:rsid w:val="00DA0BCB"/>
    <w:rsid w:val="00DA1E6D"/>
    <w:rsid w:val="00DA40BD"/>
    <w:rsid w:val="00DA48C8"/>
    <w:rsid w:val="00DA5142"/>
    <w:rsid w:val="00DA72DB"/>
    <w:rsid w:val="00DA778D"/>
    <w:rsid w:val="00DB19D2"/>
    <w:rsid w:val="00DB232C"/>
    <w:rsid w:val="00DB42A3"/>
    <w:rsid w:val="00DB7BEE"/>
    <w:rsid w:val="00DB7CEF"/>
    <w:rsid w:val="00DC15EA"/>
    <w:rsid w:val="00DC1FFA"/>
    <w:rsid w:val="00DC269F"/>
    <w:rsid w:val="00DC2CB4"/>
    <w:rsid w:val="00DC404A"/>
    <w:rsid w:val="00DD0648"/>
    <w:rsid w:val="00DD069E"/>
    <w:rsid w:val="00DD1E4C"/>
    <w:rsid w:val="00DD23E3"/>
    <w:rsid w:val="00DD3490"/>
    <w:rsid w:val="00DD6665"/>
    <w:rsid w:val="00DD70B8"/>
    <w:rsid w:val="00DE08BC"/>
    <w:rsid w:val="00DE1704"/>
    <w:rsid w:val="00DE1A6B"/>
    <w:rsid w:val="00DE1D0E"/>
    <w:rsid w:val="00DE1FA8"/>
    <w:rsid w:val="00DE26BB"/>
    <w:rsid w:val="00DE41DC"/>
    <w:rsid w:val="00DE4D76"/>
    <w:rsid w:val="00DE5DA0"/>
    <w:rsid w:val="00DE6517"/>
    <w:rsid w:val="00DE6C96"/>
    <w:rsid w:val="00DF07F1"/>
    <w:rsid w:val="00DF0EA6"/>
    <w:rsid w:val="00DF2AB1"/>
    <w:rsid w:val="00DF38D2"/>
    <w:rsid w:val="00DF3C94"/>
    <w:rsid w:val="00DF424E"/>
    <w:rsid w:val="00DF6077"/>
    <w:rsid w:val="00E006D3"/>
    <w:rsid w:val="00E012EE"/>
    <w:rsid w:val="00E0181B"/>
    <w:rsid w:val="00E01A70"/>
    <w:rsid w:val="00E01ABC"/>
    <w:rsid w:val="00E01ECB"/>
    <w:rsid w:val="00E02864"/>
    <w:rsid w:val="00E03FD9"/>
    <w:rsid w:val="00E1101A"/>
    <w:rsid w:val="00E114CB"/>
    <w:rsid w:val="00E1332D"/>
    <w:rsid w:val="00E1525F"/>
    <w:rsid w:val="00E15D67"/>
    <w:rsid w:val="00E161E7"/>
    <w:rsid w:val="00E203D5"/>
    <w:rsid w:val="00E226FB"/>
    <w:rsid w:val="00E238A6"/>
    <w:rsid w:val="00E23B55"/>
    <w:rsid w:val="00E23C71"/>
    <w:rsid w:val="00E243B7"/>
    <w:rsid w:val="00E24686"/>
    <w:rsid w:val="00E25520"/>
    <w:rsid w:val="00E25617"/>
    <w:rsid w:val="00E30FD7"/>
    <w:rsid w:val="00E34C03"/>
    <w:rsid w:val="00E373BC"/>
    <w:rsid w:val="00E37BA7"/>
    <w:rsid w:val="00E40B53"/>
    <w:rsid w:val="00E40CCD"/>
    <w:rsid w:val="00E43EDE"/>
    <w:rsid w:val="00E43F23"/>
    <w:rsid w:val="00E44E7E"/>
    <w:rsid w:val="00E45577"/>
    <w:rsid w:val="00E4720A"/>
    <w:rsid w:val="00E47652"/>
    <w:rsid w:val="00E50625"/>
    <w:rsid w:val="00E507BE"/>
    <w:rsid w:val="00E5196A"/>
    <w:rsid w:val="00E5225B"/>
    <w:rsid w:val="00E5301A"/>
    <w:rsid w:val="00E53699"/>
    <w:rsid w:val="00E54EF7"/>
    <w:rsid w:val="00E55528"/>
    <w:rsid w:val="00E563A3"/>
    <w:rsid w:val="00E57159"/>
    <w:rsid w:val="00E5751C"/>
    <w:rsid w:val="00E5757B"/>
    <w:rsid w:val="00E57F9C"/>
    <w:rsid w:val="00E61A7E"/>
    <w:rsid w:val="00E625B2"/>
    <w:rsid w:val="00E63646"/>
    <w:rsid w:val="00E65809"/>
    <w:rsid w:val="00E65F73"/>
    <w:rsid w:val="00E67549"/>
    <w:rsid w:val="00E676E6"/>
    <w:rsid w:val="00E70284"/>
    <w:rsid w:val="00E7053F"/>
    <w:rsid w:val="00E72414"/>
    <w:rsid w:val="00E72FBE"/>
    <w:rsid w:val="00E7627F"/>
    <w:rsid w:val="00E76E67"/>
    <w:rsid w:val="00E80257"/>
    <w:rsid w:val="00E80313"/>
    <w:rsid w:val="00E80BB0"/>
    <w:rsid w:val="00E83B4E"/>
    <w:rsid w:val="00E85659"/>
    <w:rsid w:val="00E85F41"/>
    <w:rsid w:val="00E86378"/>
    <w:rsid w:val="00E86693"/>
    <w:rsid w:val="00E86E76"/>
    <w:rsid w:val="00E90DFC"/>
    <w:rsid w:val="00E90E01"/>
    <w:rsid w:val="00E91034"/>
    <w:rsid w:val="00E91650"/>
    <w:rsid w:val="00E92A59"/>
    <w:rsid w:val="00E93087"/>
    <w:rsid w:val="00E93A57"/>
    <w:rsid w:val="00E95555"/>
    <w:rsid w:val="00E9719A"/>
    <w:rsid w:val="00E97438"/>
    <w:rsid w:val="00E9758C"/>
    <w:rsid w:val="00E9766D"/>
    <w:rsid w:val="00EA3BC7"/>
    <w:rsid w:val="00EA498E"/>
    <w:rsid w:val="00EA5A03"/>
    <w:rsid w:val="00EA5B92"/>
    <w:rsid w:val="00EA5E01"/>
    <w:rsid w:val="00EB0CE9"/>
    <w:rsid w:val="00EB3442"/>
    <w:rsid w:val="00EB3BC7"/>
    <w:rsid w:val="00EB3D67"/>
    <w:rsid w:val="00EB5874"/>
    <w:rsid w:val="00EB6730"/>
    <w:rsid w:val="00EB7416"/>
    <w:rsid w:val="00EB7588"/>
    <w:rsid w:val="00EC121A"/>
    <w:rsid w:val="00EC26D3"/>
    <w:rsid w:val="00EC3FD7"/>
    <w:rsid w:val="00EC6014"/>
    <w:rsid w:val="00EC784E"/>
    <w:rsid w:val="00ED0582"/>
    <w:rsid w:val="00ED1CC8"/>
    <w:rsid w:val="00ED1FFF"/>
    <w:rsid w:val="00ED2827"/>
    <w:rsid w:val="00ED2EBD"/>
    <w:rsid w:val="00ED3F09"/>
    <w:rsid w:val="00ED42F2"/>
    <w:rsid w:val="00ED527B"/>
    <w:rsid w:val="00ED64C6"/>
    <w:rsid w:val="00ED66F6"/>
    <w:rsid w:val="00EE1C2C"/>
    <w:rsid w:val="00EE23BC"/>
    <w:rsid w:val="00EE24B3"/>
    <w:rsid w:val="00EE2BC4"/>
    <w:rsid w:val="00EE3761"/>
    <w:rsid w:val="00EE4A84"/>
    <w:rsid w:val="00EE751B"/>
    <w:rsid w:val="00EE76FA"/>
    <w:rsid w:val="00EF0354"/>
    <w:rsid w:val="00EF0742"/>
    <w:rsid w:val="00EF18B0"/>
    <w:rsid w:val="00EF1DC4"/>
    <w:rsid w:val="00EF25CA"/>
    <w:rsid w:val="00EF49D7"/>
    <w:rsid w:val="00EF545A"/>
    <w:rsid w:val="00EF5615"/>
    <w:rsid w:val="00EF5632"/>
    <w:rsid w:val="00EF608A"/>
    <w:rsid w:val="00EF60FB"/>
    <w:rsid w:val="00EF6606"/>
    <w:rsid w:val="00EF68C3"/>
    <w:rsid w:val="00EF7E51"/>
    <w:rsid w:val="00F008FC"/>
    <w:rsid w:val="00F01816"/>
    <w:rsid w:val="00F019DF"/>
    <w:rsid w:val="00F01BCC"/>
    <w:rsid w:val="00F02C5F"/>
    <w:rsid w:val="00F03695"/>
    <w:rsid w:val="00F03C25"/>
    <w:rsid w:val="00F05F97"/>
    <w:rsid w:val="00F06FB6"/>
    <w:rsid w:val="00F07E0F"/>
    <w:rsid w:val="00F1027C"/>
    <w:rsid w:val="00F1028A"/>
    <w:rsid w:val="00F103E4"/>
    <w:rsid w:val="00F1071A"/>
    <w:rsid w:val="00F11066"/>
    <w:rsid w:val="00F129CF"/>
    <w:rsid w:val="00F12C44"/>
    <w:rsid w:val="00F12F16"/>
    <w:rsid w:val="00F12F6E"/>
    <w:rsid w:val="00F13C2C"/>
    <w:rsid w:val="00F13CD2"/>
    <w:rsid w:val="00F142B5"/>
    <w:rsid w:val="00F14BDD"/>
    <w:rsid w:val="00F151D9"/>
    <w:rsid w:val="00F16EB7"/>
    <w:rsid w:val="00F17E0F"/>
    <w:rsid w:val="00F20661"/>
    <w:rsid w:val="00F20C9F"/>
    <w:rsid w:val="00F212F4"/>
    <w:rsid w:val="00F21DC6"/>
    <w:rsid w:val="00F224AE"/>
    <w:rsid w:val="00F23394"/>
    <w:rsid w:val="00F24A89"/>
    <w:rsid w:val="00F24F98"/>
    <w:rsid w:val="00F25990"/>
    <w:rsid w:val="00F25AE0"/>
    <w:rsid w:val="00F27827"/>
    <w:rsid w:val="00F3004F"/>
    <w:rsid w:val="00F30919"/>
    <w:rsid w:val="00F31A5C"/>
    <w:rsid w:val="00F31EAC"/>
    <w:rsid w:val="00F3233D"/>
    <w:rsid w:val="00F32D47"/>
    <w:rsid w:val="00F32E8B"/>
    <w:rsid w:val="00F33D40"/>
    <w:rsid w:val="00F34723"/>
    <w:rsid w:val="00F36242"/>
    <w:rsid w:val="00F36FEC"/>
    <w:rsid w:val="00F372E9"/>
    <w:rsid w:val="00F4134E"/>
    <w:rsid w:val="00F4176C"/>
    <w:rsid w:val="00F41CDB"/>
    <w:rsid w:val="00F41DDB"/>
    <w:rsid w:val="00F43635"/>
    <w:rsid w:val="00F441A4"/>
    <w:rsid w:val="00F445B9"/>
    <w:rsid w:val="00F4472D"/>
    <w:rsid w:val="00F50A1D"/>
    <w:rsid w:val="00F51C93"/>
    <w:rsid w:val="00F5254E"/>
    <w:rsid w:val="00F52A56"/>
    <w:rsid w:val="00F52BD1"/>
    <w:rsid w:val="00F5452D"/>
    <w:rsid w:val="00F549A3"/>
    <w:rsid w:val="00F55FFA"/>
    <w:rsid w:val="00F56D35"/>
    <w:rsid w:val="00F60076"/>
    <w:rsid w:val="00F601F5"/>
    <w:rsid w:val="00F608C7"/>
    <w:rsid w:val="00F60F45"/>
    <w:rsid w:val="00F6192D"/>
    <w:rsid w:val="00F62B4F"/>
    <w:rsid w:val="00F62F44"/>
    <w:rsid w:val="00F63641"/>
    <w:rsid w:val="00F6378A"/>
    <w:rsid w:val="00F663EB"/>
    <w:rsid w:val="00F70196"/>
    <w:rsid w:val="00F710B5"/>
    <w:rsid w:val="00F7255A"/>
    <w:rsid w:val="00F73860"/>
    <w:rsid w:val="00F738A0"/>
    <w:rsid w:val="00F75488"/>
    <w:rsid w:val="00F774E9"/>
    <w:rsid w:val="00F77662"/>
    <w:rsid w:val="00F7778A"/>
    <w:rsid w:val="00F77AA2"/>
    <w:rsid w:val="00F81803"/>
    <w:rsid w:val="00F82634"/>
    <w:rsid w:val="00F833F8"/>
    <w:rsid w:val="00F83440"/>
    <w:rsid w:val="00F83AE3"/>
    <w:rsid w:val="00F845C0"/>
    <w:rsid w:val="00F85682"/>
    <w:rsid w:val="00F856A0"/>
    <w:rsid w:val="00F8606D"/>
    <w:rsid w:val="00F86383"/>
    <w:rsid w:val="00F86B19"/>
    <w:rsid w:val="00F901DE"/>
    <w:rsid w:val="00F90CFE"/>
    <w:rsid w:val="00F91DBA"/>
    <w:rsid w:val="00F94409"/>
    <w:rsid w:val="00F9458C"/>
    <w:rsid w:val="00F94B94"/>
    <w:rsid w:val="00F94CB4"/>
    <w:rsid w:val="00F95AED"/>
    <w:rsid w:val="00FA031A"/>
    <w:rsid w:val="00FA03A1"/>
    <w:rsid w:val="00FA06F2"/>
    <w:rsid w:val="00FA11E0"/>
    <w:rsid w:val="00FA2A7F"/>
    <w:rsid w:val="00FA4B28"/>
    <w:rsid w:val="00FA5912"/>
    <w:rsid w:val="00FA74BA"/>
    <w:rsid w:val="00FB126E"/>
    <w:rsid w:val="00FB215F"/>
    <w:rsid w:val="00FB220C"/>
    <w:rsid w:val="00FB22D0"/>
    <w:rsid w:val="00FB35E0"/>
    <w:rsid w:val="00FB4062"/>
    <w:rsid w:val="00FC06C8"/>
    <w:rsid w:val="00FC07FA"/>
    <w:rsid w:val="00FC1570"/>
    <w:rsid w:val="00FC1AF2"/>
    <w:rsid w:val="00FC2681"/>
    <w:rsid w:val="00FC2A17"/>
    <w:rsid w:val="00FC3F94"/>
    <w:rsid w:val="00FC41E3"/>
    <w:rsid w:val="00FC5E39"/>
    <w:rsid w:val="00FC6835"/>
    <w:rsid w:val="00FC6C75"/>
    <w:rsid w:val="00FD02C4"/>
    <w:rsid w:val="00FD277B"/>
    <w:rsid w:val="00FD2E0F"/>
    <w:rsid w:val="00FD346F"/>
    <w:rsid w:val="00FD4599"/>
    <w:rsid w:val="00FD57CF"/>
    <w:rsid w:val="00FD5EC5"/>
    <w:rsid w:val="00FD648B"/>
    <w:rsid w:val="00FD7354"/>
    <w:rsid w:val="00FE0AB1"/>
    <w:rsid w:val="00FE16E1"/>
    <w:rsid w:val="00FE1ED1"/>
    <w:rsid w:val="00FE24C6"/>
    <w:rsid w:val="00FE298D"/>
    <w:rsid w:val="00FE3481"/>
    <w:rsid w:val="00FE43D9"/>
    <w:rsid w:val="00FE4D63"/>
    <w:rsid w:val="00FE6106"/>
    <w:rsid w:val="00FE6684"/>
    <w:rsid w:val="00FE6740"/>
    <w:rsid w:val="00FE70AB"/>
    <w:rsid w:val="00FE71BB"/>
    <w:rsid w:val="00FE7F0B"/>
    <w:rsid w:val="00FF01AF"/>
    <w:rsid w:val="00FF33EE"/>
    <w:rsid w:val="00FF3DAD"/>
    <w:rsid w:val="00FF3E3C"/>
    <w:rsid w:val="00FF509D"/>
    <w:rsid w:val="00FF5659"/>
    <w:rsid w:val="00FF6967"/>
    <w:rsid w:val="00FF6B21"/>
    <w:rsid w:val="00FF6CA7"/>
    <w:rsid w:val="01016449"/>
    <w:rsid w:val="014A2F67"/>
    <w:rsid w:val="015624B0"/>
    <w:rsid w:val="019B3B2F"/>
    <w:rsid w:val="01C123B6"/>
    <w:rsid w:val="01C635DF"/>
    <w:rsid w:val="01C71594"/>
    <w:rsid w:val="01FDFAB8"/>
    <w:rsid w:val="02191F99"/>
    <w:rsid w:val="022B0482"/>
    <w:rsid w:val="02630EFD"/>
    <w:rsid w:val="02644BEA"/>
    <w:rsid w:val="026F40A4"/>
    <w:rsid w:val="027C08D2"/>
    <w:rsid w:val="02842382"/>
    <w:rsid w:val="02963795"/>
    <w:rsid w:val="02B44732"/>
    <w:rsid w:val="02E46B0D"/>
    <w:rsid w:val="030A478B"/>
    <w:rsid w:val="03211E44"/>
    <w:rsid w:val="03242D2C"/>
    <w:rsid w:val="03306186"/>
    <w:rsid w:val="036B6F21"/>
    <w:rsid w:val="036F5416"/>
    <w:rsid w:val="0377214E"/>
    <w:rsid w:val="037A5C8A"/>
    <w:rsid w:val="038251CD"/>
    <w:rsid w:val="038D0101"/>
    <w:rsid w:val="0398745A"/>
    <w:rsid w:val="03AB4AA3"/>
    <w:rsid w:val="03DA5DF0"/>
    <w:rsid w:val="03DF0922"/>
    <w:rsid w:val="04045897"/>
    <w:rsid w:val="04111A9D"/>
    <w:rsid w:val="04165268"/>
    <w:rsid w:val="042345C0"/>
    <w:rsid w:val="042718EE"/>
    <w:rsid w:val="042D739D"/>
    <w:rsid w:val="043B3DC8"/>
    <w:rsid w:val="043C404C"/>
    <w:rsid w:val="044718FD"/>
    <w:rsid w:val="04A8328A"/>
    <w:rsid w:val="04BC0462"/>
    <w:rsid w:val="04C07348"/>
    <w:rsid w:val="04C57E21"/>
    <w:rsid w:val="04C65E7A"/>
    <w:rsid w:val="04DC4258"/>
    <w:rsid w:val="04FD2238"/>
    <w:rsid w:val="05043245"/>
    <w:rsid w:val="050E067D"/>
    <w:rsid w:val="051661A8"/>
    <w:rsid w:val="05232D64"/>
    <w:rsid w:val="05344431"/>
    <w:rsid w:val="05665AED"/>
    <w:rsid w:val="057E2CC9"/>
    <w:rsid w:val="05876912"/>
    <w:rsid w:val="05A04CFC"/>
    <w:rsid w:val="05C9793F"/>
    <w:rsid w:val="05D2786C"/>
    <w:rsid w:val="05D66AA2"/>
    <w:rsid w:val="05E378E5"/>
    <w:rsid w:val="05E9810C"/>
    <w:rsid w:val="05F152FD"/>
    <w:rsid w:val="05FE13F6"/>
    <w:rsid w:val="061436A8"/>
    <w:rsid w:val="06765E61"/>
    <w:rsid w:val="068B3A1B"/>
    <w:rsid w:val="06986CF8"/>
    <w:rsid w:val="06A80036"/>
    <w:rsid w:val="06C60ADA"/>
    <w:rsid w:val="06D44860"/>
    <w:rsid w:val="06EB4170"/>
    <w:rsid w:val="06FB5154"/>
    <w:rsid w:val="06FE5431"/>
    <w:rsid w:val="070338A3"/>
    <w:rsid w:val="070F05F5"/>
    <w:rsid w:val="070F5125"/>
    <w:rsid w:val="071156D0"/>
    <w:rsid w:val="072EE03E"/>
    <w:rsid w:val="07446A9E"/>
    <w:rsid w:val="076D2EC5"/>
    <w:rsid w:val="077F5755"/>
    <w:rsid w:val="07B67269"/>
    <w:rsid w:val="07B72CEF"/>
    <w:rsid w:val="07D5705B"/>
    <w:rsid w:val="07DC3BE0"/>
    <w:rsid w:val="07DD3C98"/>
    <w:rsid w:val="07ED9C63"/>
    <w:rsid w:val="07F3456A"/>
    <w:rsid w:val="07F3EE70"/>
    <w:rsid w:val="07F74263"/>
    <w:rsid w:val="08183A93"/>
    <w:rsid w:val="084B63B5"/>
    <w:rsid w:val="08680C7C"/>
    <w:rsid w:val="08732A56"/>
    <w:rsid w:val="08A959E5"/>
    <w:rsid w:val="08CC79CE"/>
    <w:rsid w:val="08DF6F86"/>
    <w:rsid w:val="08E3295E"/>
    <w:rsid w:val="08F127A5"/>
    <w:rsid w:val="08FC5C28"/>
    <w:rsid w:val="090055AD"/>
    <w:rsid w:val="09502698"/>
    <w:rsid w:val="095C3786"/>
    <w:rsid w:val="097135F5"/>
    <w:rsid w:val="099C18F2"/>
    <w:rsid w:val="09A040CC"/>
    <w:rsid w:val="09B73BD7"/>
    <w:rsid w:val="09C72916"/>
    <w:rsid w:val="09EA4152"/>
    <w:rsid w:val="0A400C60"/>
    <w:rsid w:val="0A5B444C"/>
    <w:rsid w:val="0A5C4679"/>
    <w:rsid w:val="0A5D255D"/>
    <w:rsid w:val="0A6F0D0A"/>
    <w:rsid w:val="0A732F2C"/>
    <w:rsid w:val="0A761A1D"/>
    <w:rsid w:val="0A7F6E2F"/>
    <w:rsid w:val="0A96285D"/>
    <w:rsid w:val="0AAC2F04"/>
    <w:rsid w:val="0ABF5E8F"/>
    <w:rsid w:val="0ADE5515"/>
    <w:rsid w:val="0AF92826"/>
    <w:rsid w:val="0AFD4160"/>
    <w:rsid w:val="0B387087"/>
    <w:rsid w:val="0B4F5F0D"/>
    <w:rsid w:val="0B62446D"/>
    <w:rsid w:val="0B6679DB"/>
    <w:rsid w:val="0B95392E"/>
    <w:rsid w:val="0BA8235E"/>
    <w:rsid w:val="0BBF7655"/>
    <w:rsid w:val="0BC24013"/>
    <w:rsid w:val="0BF73B08"/>
    <w:rsid w:val="0BF7C66F"/>
    <w:rsid w:val="0BFF23CF"/>
    <w:rsid w:val="0C0D271E"/>
    <w:rsid w:val="0C1F1A7D"/>
    <w:rsid w:val="0C205C66"/>
    <w:rsid w:val="0C23536D"/>
    <w:rsid w:val="0C2D7AD6"/>
    <w:rsid w:val="0C347B07"/>
    <w:rsid w:val="0C45727A"/>
    <w:rsid w:val="0C5816FA"/>
    <w:rsid w:val="0C587940"/>
    <w:rsid w:val="0C6C656A"/>
    <w:rsid w:val="0C6E124E"/>
    <w:rsid w:val="0C767E38"/>
    <w:rsid w:val="0C7B2208"/>
    <w:rsid w:val="0CC20DDA"/>
    <w:rsid w:val="0CC96BED"/>
    <w:rsid w:val="0CCE3DFC"/>
    <w:rsid w:val="0CE2258C"/>
    <w:rsid w:val="0D0971FD"/>
    <w:rsid w:val="0D2640D4"/>
    <w:rsid w:val="0D2713F4"/>
    <w:rsid w:val="0D2E79EB"/>
    <w:rsid w:val="0D3E2EA5"/>
    <w:rsid w:val="0D4A39C7"/>
    <w:rsid w:val="0D67C31B"/>
    <w:rsid w:val="0D6831E2"/>
    <w:rsid w:val="0D8E6A8C"/>
    <w:rsid w:val="0DA35C73"/>
    <w:rsid w:val="0DCE09E6"/>
    <w:rsid w:val="0DD534BF"/>
    <w:rsid w:val="0DDB748C"/>
    <w:rsid w:val="0DE78F9C"/>
    <w:rsid w:val="0DE873A8"/>
    <w:rsid w:val="0DF2345A"/>
    <w:rsid w:val="0DFD2741"/>
    <w:rsid w:val="0E1B3647"/>
    <w:rsid w:val="0E2A1611"/>
    <w:rsid w:val="0E3840EB"/>
    <w:rsid w:val="0E4805A4"/>
    <w:rsid w:val="0E4A10B0"/>
    <w:rsid w:val="0E523DF8"/>
    <w:rsid w:val="0E6C4457"/>
    <w:rsid w:val="0E7A2875"/>
    <w:rsid w:val="0E861A3E"/>
    <w:rsid w:val="0E8C0F63"/>
    <w:rsid w:val="0E9025BA"/>
    <w:rsid w:val="0E915CD1"/>
    <w:rsid w:val="0EB806F6"/>
    <w:rsid w:val="0EB9013C"/>
    <w:rsid w:val="0EBBE945"/>
    <w:rsid w:val="0EE14DD0"/>
    <w:rsid w:val="0F4525CF"/>
    <w:rsid w:val="0F4B233A"/>
    <w:rsid w:val="0F4C7B24"/>
    <w:rsid w:val="0F6F1DA2"/>
    <w:rsid w:val="0F7103C8"/>
    <w:rsid w:val="0F73F8E7"/>
    <w:rsid w:val="0F7F7AD7"/>
    <w:rsid w:val="0F8B3A4F"/>
    <w:rsid w:val="0FBF01EC"/>
    <w:rsid w:val="0FBFE613"/>
    <w:rsid w:val="0FDD309A"/>
    <w:rsid w:val="0FDF07F8"/>
    <w:rsid w:val="0FDF1867"/>
    <w:rsid w:val="0FDF5183"/>
    <w:rsid w:val="0FE77C9C"/>
    <w:rsid w:val="0FE96218"/>
    <w:rsid w:val="0FF51DC8"/>
    <w:rsid w:val="0FFC683B"/>
    <w:rsid w:val="0FFFBADA"/>
    <w:rsid w:val="100D3861"/>
    <w:rsid w:val="10394C6E"/>
    <w:rsid w:val="10465923"/>
    <w:rsid w:val="10777486"/>
    <w:rsid w:val="10925478"/>
    <w:rsid w:val="10994057"/>
    <w:rsid w:val="10AE05CD"/>
    <w:rsid w:val="110D15FA"/>
    <w:rsid w:val="1111308C"/>
    <w:rsid w:val="112F3840"/>
    <w:rsid w:val="11373924"/>
    <w:rsid w:val="11430499"/>
    <w:rsid w:val="11441C9B"/>
    <w:rsid w:val="118C0664"/>
    <w:rsid w:val="11A323C5"/>
    <w:rsid w:val="11AB029C"/>
    <w:rsid w:val="11B34B11"/>
    <w:rsid w:val="11B96735"/>
    <w:rsid w:val="11EB326B"/>
    <w:rsid w:val="11EE63BF"/>
    <w:rsid w:val="11F11869"/>
    <w:rsid w:val="11F44277"/>
    <w:rsid w:val="11F463A0"/>
    <w:rsid w:val="11F84DFA"/>
    <w:rsid w:val="12091AEF"/>
    <w:rsid w:val="1220290C"/>
    <w:rsid w:val="12344E88"/>
    <w:rsid w:val="12517CB1"/>
    <w:rsid w:val="12601EFC"/>
    <w:rsid w:val="12682534"/>
    <w:rsid w:val="12AC478B"/>
    <w:rsid w:val="12C312E5"/>
    <w:rsid w:val="12CB4052"/>
    <w:rsid w:val="12D36726"/>
    <w:rsid w:val="12D56161"/>
    <w:rsid w:val="12EB4ADB"/>
    <w:rsid w:val="131F277D"/>
    <w:rsid w:val="1338F4F0"/>
    <w:rsid w:val="134715A5"/>
    <w:rsid w:val="1355498A"/>
    <w:rsid w:val="13734537"/>
    <w:rsid w:val="13750153"/>
    <w:rsid w:val="137731CB"/>
    <w:rsid w:val="137BAE7C"/>
    <w:rsid w:val="13A65640"/>
    <w:rsid w:val="13BB515C"/>
    <w:rsid w:val="13C52735"/>
    <w:rsid w:val="13EC7735"/>
    <w:rsid w:val="13F14B4F"/>
    <w:rsid w:val="13FC7CEC"/>
    <w:rsid w:val="13FF0F40"/>
    <w:rsid w:val="142D7C54"/>
    <w:rsid w:val="143B56E6"/>
    <w:rsid w:val="14451B08"/>
    <w:rsid w:val="149022F5"/>
    <w:rsid w:val="14994873"/>
    <w:rsid w:val="14A33692"/>
    <w:rsid w:val="14A95556"/>
    <w:rsid w:val="14B34393"/>
    <w:rsid w:val="14CD3376"/>
    <w:rsid w:val="14DDE6DA"/>
    <w:rsid w:val="14E263CC"/>
    <w:rsid w:val="14FFD363"/>
    <w:rsid w:val="15015F38"/>
    <w:rsid w:val="151F465F"/>
    <w:rsid w:val="15724F57"/>
    <w:rsid w:val="15737ED5"/>
    <w:rsid w:val="15747800"/>
    <w:rsid w:val="159C5EBE"/>
    <w:rsid w:val="15A57F70"/>
    <w:rsid w:val="15A7413B"/>
    <w:rsid w:val="15AF6FA5"/>
    <w:rsid w:val="15B3B949"/>
    <w:rsid w:val="15CF777C"/>
    <w:rsid w:val="15D71918"/>
    <w:rsid w:val="15D7392C"/>
    <w:rsid w:val="15E957F5"/>
    <w:rsid w:val="165F8A96"/>
    <w:rsid w:val="166154D9"/>
    <w:rsid w:val="16620897"/>
    <w:rsid w:val="16706CB9"/>
    <w:rsid w:val="1679277A"/>
    <w:rsid w:val="168809C1"/>
    <w:rsid w:val="1688372A"/>
    <w:rsid w:val="16906C20"/>
    <w:rsid w:val="16912320"/>
    <w:rsid w:val="16A642EA"/>
    <w:rsid w:val="16AA0C79"/>
    <w:rsid w:val="16CB515E"/>
    <w:rsid w:val="16CF9482"/>
    <w:rsid w:val="16DE5348"/>
    <w:rsid w:val="16E75584"/>
    <w:rsid w:val="16EF7E9D"/>
    <w:rsid w:val="16FEFB4C"/>
    <w:rsid w:val="171437BC"/>
    <w:rsid w:val="171F31B6"/>
    <w:rsid w:val="17297243"/>
    <w:rsid w:val="172B3BAF"/>
    <w:rsid w:val="17306DC5"/>
    <w:rsid w:val="17517DB4"/>
    <w:rsid w:val="175362BD"/>
    <w:rsid w:val="17564E4E"/>
    <w:rsid w:val="175A3626"/>
    <w:rsid w:val="176339B9"/>
    <w:rsid w:val="176D2214"/>
    <w:rsid w:val="177A76FB"/>
    <w:rsid w:val="177FDC0C"/>
    <w:rsid w:val="17830BC4"/>
    <w:rsid w:val="179673AD"/>
    <w:rsid w:val="179D3EE7"/>
    <w:rsid w:val="17A41034"/>
    <w:rsid w:val="17AE6F0D"/>
    <w:rsid w:val="17C5A603"/>
    <w:rsid w:val="17CB69C5"/>
    <w:rsid w:val="17EFFC56"/>
    <w:rsid w:val="17F37347"/>
    <w:rsid w:val="17FB6B3A"/>
    <w:rsid w:val="18294E05"/>
    <w:rsid w:val="1843338E"/>
    <w:rsid w:val="189F63A4"/>
    <w:rsid w:val="18B50B59"/>
    <w:rsid w:val="18BA1C83"/>
    <w:rsid w:val="18BE5009"/>
    <w:rsid w:val="18DD4DBC"/>
    <w:rsid w:val="18E7300E"/>
    <w:rsid w:val="18FD36DF"/>
    <w:rsid w:val="19120D80"/>
    <w:rsid w:val="191279EB"/>
    <w:rsid w:val="194B49BE"/>
    <w:rsid w:val="19557004"/>
    <w:rsid w:val="195861A0"/>
    <w:rsid w:val="195D6BA6"/>
    <w:rsid w:val="198C09D0"/>
    <w:rsid w:val="19917D18"/>
    <w:rsid w:val="19D32F03"/>
    <w:rsid w:val="19E6EEC6"/>
    <w:rsid w:val="19F2FF62"/>
    <w:rsid w:val="19F74764"/>
    <w:rsid w:val="1A165786"/>
    <w:rsid w:val="1A3E6EBC"/>
    <w:rsid w:val="1A531651"/>
    <w:rsid w:val="1AA64CC3"/>
    <w:rsid w:val="1AC342F1"/>
    <w:rsid w:val="1ACB0083"/>
    <w:rsid w:val="1ACC1513"/>
    <w:rsid w:val="1AD4468E"/>
    <w:rsid w:val="1ADD27BD"/>
    <w:rsid w:val="1ADD7B4C"/>
    <w:rsid w:val="1AFB7030"/>
    <w:rsid w:val="1AFE27BD"/>
    <w:rsid w:val="1B174D12"/>
    <w:rsid w:val="1B284EDC"/>
    <w:rsid w:val="1B4A3BD6"/>
    <w:rsid w:val="1B565504"/>
    <w:rsid w:val="1B6F1143"/>
    <w:rsid w:val="1B77BBDD"/>
    <w:rsid w:val="1B7A0E74"/>
    <w:rsid w:val="1B9BBCC4"/>
    <w:rsid w:val="1BA63F86"/>
    <w:rsid w:val="1BAE6808"/>
    <w:rsid w:val="1BB35625"/>
    <w:rsid w:val="1BE5395D"/>
    <w:rsid w:val="1BEAA7BE"/>
    <w:rsid w:val="1BEFF4F8"/>
    <w:rsid w:val="1BFD5652"/>
    <w:rsid w:val="1C123A0E"/>
    <w:rsid w:val="1C1954B5"/>
    <w:rsid w:val="1C9D026D"/>
    <w:rsid w:val="1CBC5C15"/>
    <w:rsid w:val="1CC40B64"/>
    <w:rsid w:val="1CD23286"/>
    <w:rsid w:val="1CD74540"/>
    <w:rsid w:val="1CE9019E"/>
    <w:rsid w:val="1CF954B7"/>
    <w:rsid w:val="1D0572DB"/>
    <w:rsid w:val="1D38294F"/>
    <w:rsid w:val="1D4B21DC"/>
    <w:rsid w:val="1D5A6BB2"/>
    <w:rsid w:val="1D5FF657"/>
    <w:rsid w:val="1D6B8DD7"/>
    <w:rsid w:val="1D799629"/>
    <w:rsid w:val="1DA34B10"/>
    <w:rsid w:val="1DC10845"/>
    <w:rsid w:val="1DC93500"/>
    <w:rsid w:val="1DE7A4F4"/>
    <w:rsid w:val="1DEF14B7"/>
    <w:rsid w:val="1DFE49F6"/>
    <w:rsid w:val="1DFEF25E"/>
    <w:rsid w:val="1DFF21B1"/>
    <w:rsid w:val="1DFF271E"/>
    <w:rsid w:val="1DFF77B5"/>
    <w:rsid w:val="1E266B09"/>
    <w:rsid w:val="1E363BB7"/>
    <w:rsid w:val="1E563996"/>
    <w:rsid w:val="1E5B5266"/>
    <w:rsid w:val="1E5BB265"/>
    <w:rsid w:val="1E5F50D9"/>
    <w:rsid w:val="1E7E8BCA"/>
    <w:rsid w:val="1E7F0877"/>
    <w:rsid w:val="1E9371D9"/>
    <w:rsid w:val="1EA06BE8"/>
    <w:rsid w:val="1EAC7FCC"/>
    <w:rsid w:val="1EB71593"/>
    <w:rsid w:val="1EB7236A"/>
    <w:rsid w:val="1ED36B33"/>
    <w:rsid w:val="1EDC35A3"/>
    <w:rsid w:val="1EDD02BC"/>
    <w:rsid w:val="1EE204B1"/>
    <w:rsid w:val="1EEF2931"/>
    <w:rsid w:val="1EF36D0B"/>
    <w:rsid w:val="1F0C7536"/>
    <w:rsid w:val="1F212698"/>
    <w:rsid w:val="1F2C796E"/>
    <w:rsid w:val="1F3A4613"/>
    <w:rsid w:val="1F3E8FC1"/>
    <w:rsid w:val="1F3F4242"/>
    <w:rsid w:val="1F4EF821"/>
    <w:rsid w:val="1F581A95"/>
    <w:rsid w:val="1F68043D"/>
    <w:rsid w:val="1F75083B"/>
    <w:rsid w:val="1F77B54F"/>
    <w:rsid w:val="1F7B364C"/>
    <w:rsid w:val="1F7D485F"/>
    <w:rsid w:val="1F887F6B"/>
    <w:rsid w:val="1F954420"/>
    <w:rsid w:val="1F9D423F"/>
    <w:rsid w:val="1FA7A1B2"/>
    <w:rsid w:val="1FAE7B44"/>
    <w:rsid w:val="1FB1E482"/>
    <w:rsid w:val="1FB501A7"/>
    <w:rsid w:val="1FB53C07"/>
    <w:rsid w:val="1FB651ED"/>
    <w:rsid w:val="1FBB09A2"/>
    <w:rsid w:val="1FBB726F"/>
    <w:rsid w:val="1FC46087"/>
    <w:rsid w:val="1FD149F0"/>
    <w:rsid w:val="1FD61EE3"/>
    <w:rsid w:val="1FD793CA"/>
    <w:rsid w:val="1FD94D5C"/>
    <w:rsid w:val="1FE73B1D"/>
    <w:rsid w:val="1FF7F685"/>
    <w:rsid w:val="1FFF29B0"/>
    <w:rsid w:val="1FFF5983"/>
    <w:rsid w:val="2061168E"/>
    <w:rsid w:val="20673EBA"/>
    <w:rsid w:val="2075250A"/>
    <w:rsid w:val="20840DA7"/>
    <w:rsid w:val="20847649"/>
    <w:rsid w:val="20917D10"/>
    <w:rsid w:val="20A40717"/>
    <w:rsid w:val="20C47107"/>
    <w:rsid w:val="21093C90"/>
    <w:rsid w:val="210B5D4D"/>
    <w:rsid w:val="21221B95"/>
    <w:rsid w:val="21362809"/>
    <w:rsid w:val="2146659D"/>
    <w:rsid w:val="21926D46"/>
    <w:rsid w:val="219A7D2B"/>
    <w:rsid w:val="21AB2AE5"/>
    <w:rsid w:val="21AB504F"/>
    <w:rsid w:val="21BF4BA9"/>
    <w:rsid w:val="21C52462"/>
    <w:rsid w:val="21E14DC4"/>
    <w:rsid w:val="21F574E9"/>
    <w:rsid w:val="22184D51"/>
    <w:rsid w:val="224E42C7"/>
    <w:rsid w:val="224E47FB"/>
    <w:rsid w:val="2275687B"/>
    <w:rsid w:val="22841700"/>
    <w:rsid w:val="2289067E"/>
    <w:rsid w:val="228B0281"/>
    <w:rsid w:val="22927984"/>
    <w:rsid w:val="22B45163"/>
    <w:rsid w:val="22C92EAC"/>
    <w:rsid w:val="22E376EB"/>
    <w:rsid w:val="22F33B6D"/>
    <w:rsid w:val="22F60342"/>
    <w:rsid w:val="230420D2"/>
    <w:rsid w:val="232F5637"/>
    <w:rsid w:val="235943C3"/>
    <w:rsid w:val="237A1D8C"/>
    <w:rsid w:val="239B435B"/>
    <w:rsid w:val="239D61E8"/>
    <w:rsid w:val="23A62CE3"/>
    <w:rsid w:val="23AF1F2B"/>
    <w:rsid w:val="23B17A30"/>
    <w:rsid w:val="23B80F9A"/>
    <w:rsid w:val="23D54C43"/>
    <w:rsid w:val="23EBB3A3"/>
    <w:rsid w:val="23EE4ED7"/>
    <w:rsid w:val="240C1DB3"/>
    <w:rsid w:val="24265D18"/>
    <w:rsid w:val="242C15B9"/>
    <w:rsid w:val="24411393"/>
    <w:rsid w:val="246E124B"/>
    <w:rsid w:val="24740C3C"/>
    <w:rsid w:val="247B04B6"/>
    <w:rsid w:val="24A67CE2"/>
    <w:rsid w:val="24B9E822"/>
    <w:rsid w:val="24BF5292"/>
    <w:rsid w:val="24CA25CC"/>
    <w:rsid w:val="24F84517"/>
    <w:rsid w:val="24FB19A3"/>
    <w:rsid w:val="2522175C"/>
    <w:rsid w:val="252D544D"/>
    <w:rsid w:val="253B5020"/>
    <w:rsid w:val="2563686D"/>
    <w:rsid w:val="25735BE7"/>
    <w:rsid w:val="25895672"/>
    <w:rsid w:val="25AA5979"/>
    <w:rsid w:val="25AF1875"/>
    <w:rsid w:val="25B37265"/>
    <w:rsid w:val="25C052E7"/>
    <w:rsid w:val="25EB66AD"/>
    <w:rsid w:val="25FB1550"/>
    <w:rsid w:val="25FE0EAD"/>
    <w:rsid w:val="26114AD8"/>
    <w:rsid w:val="263354EE"/>
    <w:rsid w:val="265D20A7"/>
    <w:rsid w:val="265E53FE"/>
    <w:rsid w:val="266357C0"/>
    <w:rsid w:val="2669680C"/>
    <w:rsid w:val="26777618"/>
    <w:rsid w:val="26791230"/>
    <w:rsid w:val="26983CEA"/>
    <w:rsid w:val="269A6A6E"/>
    <w:rsid w:val="269FA737"/>
    <w:rsid w:val="26A3387D"/>
    <w:rsid w:val="26AA2AD3"/>
    <w:rsid w:val="26AA6007"/>
    <w:rsid w:val="26AD2F94"/>
    <w:rsid w:val="26AE6248"/>
    <w:rsid w:val="26B62569"/>
    <w:rsid w:val="26C629A3"/>
    <w:rsid w:val="26C93070"/>
    <w:rsid w:val="26E74D76"/>
    <w:rsid w:val="26EE611D"/>
    <w:rsid w:val="26F04034"/>
    <w:rsid w:val="26F8489F"/>
    <w:rsid w:val="26FE0036"/>
    <w:rsid w:val="27163BC9"/>
    <w:rsid w:val="27182CFD"/>
    <w:rsid w:val="273F09D2"/>
    <w:rsid w:val="277600FA"/>
    <w:rsid w:val="277BABC2"/>
    <w:rsid w:val="277FA20D"/>
    <w:rsid w:val="279703C9"/>
    <w:rsid w:val="279B2A58"/>
    <w:rsid w:val="27AA69A2"/>
    <w:rsid w:val="27C60DA9"/>
    <w:rsid w:val="27CE0F9B"/>
    <w:rsid w:val="27CEA13B"/>
    <w:rsid w:val="27D1C5F8"/>
    <w:rsid w:val="27D721A8"/>
    <w:rsid w:val="27E73BB3"/>
    <w:rsid w:val="27FD17FD"/>
    <w:rsid w:val="27FF1391"/>
    <w:rsid w:val="27FF324B"/>
    <w:rsid w:val="27FF779B"/>
    <w:rsid w:val="28386C74"/>
    <w:rsid w:val="28493A83"/>
    <w:rsid w:val="28604FE7"/>
    <w:rsid w:val="286C1CB0"/>
    <w:rsid w:val="28947DA2"/>
    <w:rsid w:val="28A3466F"/>
    <w:rsid w:val="28BB0066"/>
    <w:rsid w:val="28FDE007"/>
    <w:rsid w:val="2932018A"/>
    <w:rsid w:val="294A79CB"/>
    <w:rsid w:val="294B68FE"/>
    <w:rsid w:val="29537674"/>
    <w:rsid w:val="29661D7C"/>
    <w:rsid w:val="296D4472"/>
    <w:rsid w:val="29757FBB"/>
    <w:rsid w:val="298026CA"/>
    <w:rsid w:val="298C246F"/>
    <w:rsid w:val="299037A8"/>
    <w:rsid w:val="2991141F"/>
    <w:rsid w:val="29B66143"/>
    <w:rsid w:val="29DA560E"/>
    <w:rsid w:val="29DED147"/>
    <w:rsid w:val="29EE1CD6"/>
    <w:rsid w:val="2A1E39B9"/>
    <w:rsid w:val="2A25126B"/>
    <w:rsid w:val="2A3002DA"/>
    <w:rsid w:val="2A35A0D0"/>
    <w:rsid w:val="2A3D3491"/>
    <w:rsid w:val="2A4921EC"/>
    <w:rsid w:val="2A514A27"/>
    <w:rsid w:val="2A617BD1"/>
    <w:rsid w:val="2A672227"/>
    <w:rsid w:val="2A6938C3"/>
    <w:rsid w:val="2A734F0D"/>
    <w:rsid w:val="2A871ECB"/>
    <w:rsid w:val="2ABFF9A6"/>
    <w:rsid w:val="2AC249FE"/>
    <w:rsid w:val="2AC344B9"/>
    <w:rsid w:val="2AD84C0D"/>
    <w:rsid w:val="2B03403A"/>
    <w:rsid w:val="2B1F48F4"/>
    <w:rsid w:val="2B23531E"/>
    <w:rsid w:val="2B517268"/>
    <w:rsid w:val="2B5E6AC9"/>
    <w:rsid w:val="2B610CE2"/>
    <w:rsid w:val="2B9A3BCA"/>
    <w:rsid w:val="2B9F42EB"/>
    <w:rsid w:val="2BA35206"/>
    <w:rsid w:val="2BAB1F95"/>
    <w:rsid w:val="2BADD74A"/>
    <w:rsid w:val="2BB66CD7"/>
    <w:rsid w:val="2BBFE3EB"/>
    <w:rsid w:val="2BCF4C12"/>
    <w:rsid w:val="2BED0AE0"/>
    <w:rsid w:val="2BED3BF7"/>
    <w:rsid w:val="2BF111D6"/>
    <w:rsid w:val="2BF721D3"/>
    <w:rsid w:val="2BF7DEB3"/>
    <w:rsid w:val="2BF963F1"/>
    <w:rsid w:val="2C2E6493"/>
    <w:rsid w:val="2C3962CF"/>
    <w:rsid w:val="2C3FAFA1"/>
    <w:rsid w:val="2C421740"/>
    <w:rsid w:val="2C465038"/>
    <w:rsid w:val="2C5663B9"/>
    <w:rsid w:val="2C6C4D1C"/>
    <w:rsid w:val="2C6D1E34"/>
    <w:rsid w:val="2C9E2314"/>
    <w:rsid w:val="2CAE1E2F"/>
    <w:rsid w:val="2CB7D1E1"/>
    <w:rsid w:val="2CCE5550"/>
    <w:rsid w:val="2CDA1081"/>
    <w:rsid w:val="2CF14126"/>
    <w:rsid w:val="2CF7E4EE"/>
    <w:rsid w:val="2CFE6894"/>
    <w:rsid w:val="2D10101F"/>
    <w:rsid w:val="2D33573B"/>
    <w:rsid w:val="2D4E398D"/>
    <w:rsid w:val="2D5F57C3"/>
    <w:rsid w:val="2D731DFE"/>
    <w:rsid w:val="2D74AE43"/>
    <w:rsid w:val="2D7D0967"/>
    <w:rsid w:val="2D7D66B5"/>
    <w:rsid w:val="2DBFD56D"/>
    <w:rsid w:val="2DC8321C"/>
    <w:rsid w:val="2DDC6D4E"/>
    <w:rsid w:val="2DDD2D14"/>
    <w:rsid w:val="2DF74431"/>
    <w:rsid w:val="2DF7E049"/>
    <w:rsid w:val="2DF86F61"/>
    <w:rsid w:val="2DFC4534"/>
    <w:rsid w:val="2E0B6FBF"/>
    <w:rsid w:val="2E1C73B8"/>
    <w:rsid w:val="2E1E1680"/>
    <w:rsid w:val="2E2E1865"/>
    <w:rsid w:val="2E370CB4"/>
    <w:rsid w:val="2E3B6762"/>
    <w:rsid w:val="2E3D1882"/>
    <w:rsid w:val="2E412209"/>
    <w:rsid w:val="2E57735D"/>
    <w:rsid w:val="2E612400"/>
    <w:rsid w:val="2E6D122F"/>
    <w:rsid w:val="2E6DA061"/>
    <w:rsid w:val="2E71268D"/>
    <w:rsid w:val="2E7C3896"/>
    <w:rsid w:val="2E89159D"/>
    <w:rsid w:val="2EA70AA1"/>
    <w:rsid w:val="2EBB605D"/>
    <w:rsid w:val="2EBBE11F"/>
    <w:rsid w:val="2EBE4884"/>
    <w:rsid w:val="2EC11F85"/>
    <w:rsid w:val="2ECF53D1"/>
    <w:rsid w:val="2EE352BC"/>
    <w:rsid w:val="2EFBA18A"/>
    <w:rsid w:val="2EFE4B9F"/>
    <w:rsid w:val="2EFFCF90"/>
    <w:rsid w:val="2F31082F"/>
    <w:rsid w:val="2F310CC2"/>
    <w:rsid w:val="2F396FBC"/>
    <w:rsid w:val="2F3F2D0B"/>
    <w:rsid w:val="2F4D0EB6"/>
    <w:rsid w:val="2F5E0BE7"/>
    <w:rsid w:val="2F5F10FD"/>
    <w:rsid w:val="2F6F19CE"/>
    <w:rsid w:val="2F7161A5"/>
    <w:rsid w:val="2F8D07E7"/>
    <w:rsid w:val="2FA8320F"/>
    <w:rsid w:val="2FAC0809"/>
    <w:rsid w:val="2FB45029"/>
    <w:rsid w:val="2FB75CDC"/>
    <w:rsid w:val="2FB8A540"/>
    <w:rsid w:val="2FC7B207"/>
    <w:rsid w:val="2FCE3CC0"/>
    <w:rsid w:val="2FCFC64D"/>
    <w:rsid w:val="2FD05F7D"/>
    <w:rsid w:val="2FD51119"/>
    <w:rsid w:val="2FE344D4"/>
    <w:rsid w:val="2FEF5131"/>
    <w:rsid w:val="2FF20944"/>
    <w:rsid w:val="2FF68D6B"/>
    <w:rsid w:val="2FF7CBB4"/>
    <w:rsid w:val="2FF7F075"/>
    <w:rsid w:val="2FFA0AE2"/>
    <w:rsid w:val="2FFF3CB2"/>
    <w:rsid w:val="2FFF7748"/>
    <w:rsid w:val="2FFFFA46"/>
    <w:rsid w:val="30177BF3"/>
    <w:rsid w:val="301A547C"/>
    <w:rsid w:val="301C4311"/>
    <w:rsid w:val="305D75BE"/>
    <w:rsid w:val="30612DCB"/>
    <w:rsid w:val="306B7AEE"/>
    <w:rsid w:val="306C534F"/>
    <w:rsid w:val="30883DFB"/>
    <w:rsid w:val="309E155F"/>
    <w:rsid w:val="30A73C3B"/>
    <w:rsid w:val="30BBF2A5"/>
    <w:rsid w:val="30EC639E"/>
    <w:rsid w:val="31027962"/>
    <w:rsid w:val="31173D9A"/>
    <w:rsid w:val="313C02E4"/>
    <w:rsid w:val="315A0B70"/>
    <w:rsid w:val="31626EB9"/>
    <w:rsid w:val="319334C6"/>
    <w:rsid w:val="319F2AA2"/>
    <w:rsid w:val="31B17FB8"/>
    <w:rsid w:val="31B405C6"/>
    <w:rsid w:val="31B8195A"/>
    <w:rsid w:val="31BEA993"/>
    <w:rsid w:val="31C03864"/>
    <w:rsid w:val="31ED1C11"/>
    <w:rsid w:val="31F908C2"/>
    <w:rsid w:val="32277E1B"/>
    <w:rsid w:val="325068E7"/>
    <w:rsid w:val="32520F9B"/>
    <w:rsid w:val="327B6B70"/>
    <w:rsid w:val="328B0085"/>
    <w:rsid w:val="329A0FA9"/>
    <w:rsid w:val="329DFE3F"/>
    <w:rsid w:val="32BC1CE9"/>
    <w:rsid w:val="32D1DF02"/>
    <w:rsid w:val="32D31321"/>
    <w:rsid w:val="32D7B2A4"/>
    <w:rsid w:val="32E7A639"/>
    <w:rsid w:val="32E94FAB"/>
    <w:rsid w:val="32EC12B2"/>
    <w:rsid w:val="32F874D4"/>
    <w:rsid w:val="32FE6B29"/>
    <w:rsid w:val="330A322A"/>
    <w:rsid w:val="33247697"/>
    <w:rsid w:val="3334327C"/>
    <w:rsid w:val="33555950"/>
    <w:rsid w:val="335A73D1"/>
    <w:rsid w:val="336738AE"/>
    <w:rsid w:val="336B35DC"/>
    <w:rsid w:val="337EFA9E"/>
    <w:rsid w:val="33BE456D"/>
    <w:rsid w:val="33C74A8B"/>
    <w:rsid w:val="33CA42E3"/>
    <w:rsid w:val="33DF28FD"/>
    <w:rsid w:val="33FF864B"/>
    <w:rsid w:val="344A1F94"/>
    <w:rsid w:val="34723588"/>
    <w:rsid w:val="348C59B9"/>
    <w:rsid w:val="34910D7F"/>
    <w:rsid w:val="349178FA"/>
    <w:rsid w:val="34AA74CE"/>
    <w:rsid w:val="34BE395B"/>
    <w:rsid w:val="34BFEC85"/>
    <w:rsid w:val="34C0400C"/>
    <w:rsid w:val="351E0221"/>
    <w:rsid w:val="352359A2"/>
    <w:rsid w:val="35341DFA"/>
    <w:rsid w:val="35375926"/>
    <w:rsid w:val="353F3346"/>
    <w:rsid w:val="354D468B"/>
    <w:rsid w:val="355B7099"/>
    <w:rsid w:val="35645BBD"/>
    <w:rsid w:val="35691A1E"/>
    <w:rsid w:val="357E0719"/>
    <w:rsid w:val="357F8CFE"/>
    <w:rsid w:val="358F5735"/>
    <w:rsid w:val="35B75B32"/>
    <w:rsid w:val="35C81D9D"/>
    <w:rsid w:val="35D61EB1"/>
    <w:rsid w:val="35E664D5"/>
    <w:rsid w:val="35EA863B"/>
    <w:rsid w:val="35F6546D"/>
    <w:rsid w:val="35FFBB04"/>
    <w:rsid w:val="3605258A"/>
    <w:rsid w:val="361723CB"/>
    <w:rsid w:val="36193814"/>
    <w:rsid w:val="36376DED"/>
    <w:rsid w:val="36384A28"/>
    <w:rsid w:val="364F3F65"/>
    <w:rsid w:val="366F5D16"/>
    <w:rsid w:val="367C28F1"/>
    <w:rsid w:val="367D994B"/>
    <w:rsid w:val="36A470A9"/>
    <w:rsid w:val="36AA4802"/>
    <w:rsid w:val="36C66E7D"/>
    <w:rsid w:val="36E17B53"/>
    <w:rsid w:val="36E7309A"/>
    <w:rsid w:val="36F36BCB"/>
    <w:rsid w:val="36F97BDB"/>
    <w:rsid w:val="36FF8D45"/>
    <w:rsid w:val="370A39B7"/>
    <w:rsid w:val="370B76E9"/>
    <w:rsid w:val="37137532"/>
    <w:rsid w:val="37395067"/>
    <w:rsid w:val="373CA4C6"/>
    <w:rsid w:val="373F7D47"/>
    <w:rsid w:val="37401E22"/>
    <w:rsid w:val="374D71FD"/>
    <w:rsid w:val="375064DA"/>
    <w:rsid w:val="37534D18"/>
    <w:rsid w:val="375906A4"/>
    <w:rsid w:val="375C6666"/>
    <w:rsid w:val="375EE73C"/>
    <w:rsid w:val="375FC6AA"/>
    <w:rsid w:val="377C994F"/>
    <w:rsid w:val="377D1FE1"/>
    <w:rsid w:val="377EDE3F"/>
    <w:rsid w:val="377F6BEB"/>
    <w:rsid w:val="377FBD57"/>
    <w:rsid w:val="37982549"/>
    <w:rsid w:val="37AAAB4B"/>
    <w:rsid w:val="37BB4774"/>
    <w:rsid w:val="37BBB793"/>
    <w:rsid w:val="37CF2F6A"/>
    <w:rsid w:val="37D7BE02"/>
    <w:rsid w:val="37D99604"/>
    <w:rsid w:val="37DF295F"/>
    <w:rsid w:val="37E23375"/>
    <w:rsid w:val="37F172FC"/>
    <w:rsid w:val="37F5168D"/>
    <w:rsid w:val="37F529B1"/>
    <w:rsid w:val="37F650E0"/>
    <w:rsid w:val="37F9E346"/>
    <w:rsid w:val="37FA5709"/>
    <w:rsid w:val="37FB31DD"/>
    <w:rsid w:val="37FB827B"/>
    <w:rsid w:val="37FFAD58"/>
    <w:rsid w:val="37FFD068"/>
    <w:rsid w:val="38040905"/>
    <w:rsid w:val="3804478F"/>
    <w:rsid w:val="38297753"/>
    <w:rsid w:val="383E4E95"/>
    <w:rsid w:val="385F498E"/>
    <w:rsid w:val="386B5906"/>
    <w:rsid w:val="389543B1"/>
    <w:rsid w:val="389F224D"/>
    <w:rsid w:val="38AC6D46"/>
    <w:rsid w:val="38B7B636"/>
    <w:rsid w:val="38DDFCBE"/>
    <w:rsid w:val="38F92163"/>
    <w:rsid w:val="38F97F42"/>
    <w:rsid w:val="392B589C"/>
    <w:rsid w:val="392C4E18"/>
    <w:rsid w:val="392E176A"/>
    <w:rsid w:val="39387011"/>
    <w:rsid w:val="396646D3"/>
    <w:rsid w:val="39700B04"/>
    <w:rsid w:val="39771D81"/>
    <w:rsid w:val="397C3824"/>
    <w:rsid w:val="3995204C"/>
    <w:rsid w:val="399741EA"/>
    <w:rsid w:val="39F78E6B"/>
    <w:rsid w:val="39F7D146"/>
    <w:rsid w:val="39FD0ACC"/>
    <w:rsid w:val="39FF2895"/>
    <w:rsid w:val="3A006594"/>
    <w:rsid w:val="3A193974"/>
    <w:rsid w:val="3A2541C8"/>
    <w:rsid w:val="3A293990"/>
    <w:rsid w:val="3A294229"/>
    <w:rsid w:val="3A485B79"/>
    <w:rsid w:val="3A4D56A8"/>
    <w:rsid w:val="3A5FEF43"/>
    <w:rsid w:val="3A796153"/>
    <w:rsid w:val="3A7B59C1"/>
    <w:rsid w:val="3A7F0826"/>
    <w:rsid w:val="3A852B7D"/>
    <w:rsid w:val="3A9A4874"/>
    <w:rsid w:val="3AA322B2"/>
    <w:rsid w:val="3ABE1B9E"/>
    <w:rsid w:val="3AC90FE2"/>
    <w:rsid w:val="3AD75FC4"/>
    <w:rsid w:val="3AE60ABB"/>
    <w:rsid w:val="3AF571F3"/>
    <w:rsid w:val="3AFC07B5"/>
    <w:rsid w:val="3AFD672C"/>
    <w:rsid w:val="3B0A6514"/>
    <w:rsid w:val="3B0E2DF3"/>
    <w:rsid w:val="3B261281"/>
    <w:rsid w:val="3B316DB9"/>
    <w:rsid w:val="3B533C35"/>
    <w:rsid w:val="3B5E9A99"/>
    <w:rsid w:val="3B6A6BE8"/>
    <w:rsid w:val="3B6D030B"/>
    <w:rsid w:val="3B6D1978"/>
    <w:rsid w:val="3B6E78E4"/>
    <w:rsid w:val="3B6F9278"/>
    <w:rsid w:val="3B723A36"/>
    <w:rsid w:val="3B74425D"/>
    <w:rsid w:val="3B777670"/>
    <w:rsid w:val="3B7D3E00"/>
    <w:rsid w:val="3B7FF12C"/>
    <w:rsid w:val="3B7FFEA6"/>
    <w:rsid w:val="3B8E43EC"/>
    <w:rsid w:val="3B952315"/>
    <w:rsid w:val="3B9D8A67"/>
    <w:rsid w:val="3BA5070F"/>
    <w:rsid w:val="3BA6C418"/>
    <w:rsid w:val="3BAB79ED"/>
    <w:rsid w:val="3BACE992"/>
    <w:rsid w:val="3BAF0A5A"/>
    <w:rsid w:val="3BB02BBF"/>
    <w:rsid w:val="3BBB37AD"/>
    <w:rsid w:val="3BBF1101"/>
    <w:rsid w:val="3BBF170C"/>
    <w:rsid w:val="3BBF3A0E"/>
    <w:rsid w:val="3BBFF8A3"/>
    <w:rsid w:val="3BCFA1BE"/>
    <w:rsid w:val="3BD2B626"/>
    <w:rsid w:val="3BDF0883"/>
    <w:rsid w:val="3BE07CD8"/>
    <w:rsid w:val="3BEEB5D3"/>
    <w:rsid w:val="3BF32496"/>
    <w:rsid w:val="3BF83A93"/>
    <w:rsid w:val="3BF9432E"/>
    <w:rsid w:val="3BF951C6"/>
    <w:rsid w:val="3BFD16DA"/>
    <w:rsid w:val="3BFF05EE"/>
    <w:rsid w:val="3BFFA73A"/>
    <w:rsid w:val="3BFFEB07"/>
    <w:rsid w:val="3BFFFBA7"/>
    <w:rsid w:val="3C0F310A"/>
    <w:rsid w:val="3C5EC1AD"/>
    <w:rsid w:val="3C791B3A"/>
    <w:rsid w:val="3C8F6E4A"/>
    <w:rsid w:val="3CBA9269"/>
    <w:rsid w:val="3CBD4D35"/>
    <w:rsid w:val="3CBF6638"/>
    <w:rsid w:val="3CCE580F"/>
    <w:rsid w:val="3CCEA366"/>
    <w:rsid w:val="3CCF1FB9"/>
    <w:rsid w:val="3CCFD43C"/>
    <w:rsid w:val="3CD54D0D"/>
    <w:rsid w:val="3CDF4E0B"/>
    <w:rsid w:val="3CFAF8DB"/>
    <w:rsid w:val="3CFE2FEF"/>
    <w:rsid w:val="3D093E18"/>
    <w:rsid w:val="3D1330D0"/>
    <w:rsid w:val="3D2D11F6"/>
    <w:rsid w:val="3D2FD868"/>
    <w:rsid w:val="3D54759C"/>
    <w:rsid w:val="3D55D996"/>
    <w:rsid w:val="3D58688A"/>
    <w:rsid w:val="3D5FF058"/>
    <w:rsid w:val="3D6D33CB"/>
    <w:rsid w:val="3D7D2136"/>
    <w:rsid w:val="3D7DB910"/>
    <w:rsid w:val="3D7DDB94"/>
    <w:rsid w:val="3D7E89AF"/>
    <w:rsid w:val="3D7FC1F2"/>
    <w:rsid w:val="3D9B5208"/>
    <w:rsid w:val="3DA662BF"/>
    <w:rsid w:val="3DA82D91"/>
    <w:rsid w:val="3DAB7FBF"/>
    <w:rsid w:val="3DAEF2C7"/>
    <w:rsid w:val="3DBDD449"/>
    <w:rsid w:val="3DBF99B3"/>
    <w:rsid w:val="3DBFE4A4"/>
    <w:rsid w:val="3DCB6468"/>
    <w:rsid w:val="3DCC2907"/>
    <w:rsid w:val="3DCDE433"/>
    <w:rsid w:val="3DDB64C4"/>
    <w:rsid w:val="3DDEBB1A"/>
    <w:rsid w:val="3DE7DD70"/>
    <w:rsid w:val="3DEBB676"/>
    <w:rsid w:val="3DEEF84C"/>
    <w:rsid w:val="3DEF9A77"/>
    <w:rsid w:val="3DF1DE25"/>
    <w:rsid w:val="3DF7665C"/>
    <w:rsid w:val="3DFBAA27"/>
    <w:rsid w:val="3DFC549D"/>
    <w:rsid w:val="3DFF3A02"/>
    <w:rsid w:val="3E1B0193"/>
    <w:rsid w:val="3E1D54A0"/>
    <w:rsid w:val="3E1F7A3F"/>
    <w:rsid w:val="3E210319"/>
    <w:rsid w:val="3E53C819"/>
    <w:rsid w:val="3E68CA51"/>
    <w:rsid w:val="3E6A0936"/>
    <w:rsid w:val="3E6B1765"/>
    <w:rsid w:val="3E6F6046"/>
    <w:rsid w:val="3E7FD1D3"/>
    <w:rsid w:val="3E927889"/>
    <w:rsid w:val="3EAB3912"/>
    <w:rsid w:val="3EAF5C86"/>
    <w:rsid w:val="3EB3F3DD"/>
    <w:rsid w:val="3EBB7223"/>
    <w:rsid w:val="3ECF316A"/>
    <w:rsid w:val="3ECF41AC"/>
    <w:rsid w:val="3ECF639B"/>
    <w:rsid w:val="3ED96356"/>
    <w:rsid w:val="3EDFAE3A"/>
    <w:rsid w:val="3EE6EFF6"/>
    <w:rsid w:val="3EEFC179"/>
    <w:rsid w:val="3EF35EC1"/>
    <w:rsid w:val="3EF47779"/>
    <w:rsid w:val="3EFAC21C"/>
    <w:rsid w:val="3EFC7411"/>
    <w:rsid w:val="3EFCEB44"/>
    <w:rsid w:val="3EFD6B64"/>
    <w:rsid w:val="3EFE5775"/>
    <w:rsid w:val="3EFF0100"/>
    <w:rsid w:val="3EFF0F07"/>
    <w:rsid w:val="3EFF96BE"/>
    <w:rsid w:val="3EFFA03B"/>
    <w:rsid w:val="3EFFA4FA"/>
    <w:rsid w:val="3F0C26B7"/>
    <w:rsid w:val="3F174070"/>
    <w:rsid w:val="3F215DFF"/>
    <w:rsid w:val="3F2B98AF"/>
    <w:rsid w:val="3F394FF8"/>
    <w:rsid w:val="3F3B1518"/>
    <w:rsid w:val="3F4738A8"/>
    <w:rsid w:val="3F497BDA"/>
    <w:rsid w:val="3F550396"/>
    <w:rsid w:val="3F5B1FB7"/>
    <w:rsid w:val="3F5B5B39"/>
    <w:rsid w:val="3F5FA794"/>
    <w:rsid w:val="3F6037A9"/>
    <w:rsid w:val="3F679DA8"/>
    <w:rsid w:val="3F6BDF87"/>
    <w:rsid w:val="3F6D029F"/>
    <w:rsid w:val="3F73B8D3"/>
    <w:rsid w:val="3F756CA9"/>
    <w:rsid w:val="3F79C70B"/>
    <w:rsid w:val="3F7A192A"/>
    <w:rsid w:val="3F7E5DE2"/>
    <w:rsid w:val="3F7F78F1"/>
    <w:rsid w:val="3FA7B7D0"/>
    <w:rsid w:val="3FA92BC2"/>
    <w:rsid w:val="3FADB6A5"/>
    <w:rsid w:val="3FB68F14"/>
    <w:rsid w:val="3FB7A232"/>
    <w:rsid w:val="3FBAADBF"/>
    <w:rsid w:val="3FBD60F8"/>
    <w:rsid w:val="3FBE1C32"/>
    <w:rsid w:val="3FBE67A4"/>
    <w:rsid w:val="3FBED5F8"/>
    <w:rsid w:val="3FBF5C0D"/>
    <w:rsid w:val="3FBF6A78"/>
    <w:rsid w:val="3FBFD669"/>
    <w:rsid w:val="3FCB1F31"/>
    <w:rsid w:val="3FD7223F"/>
    <w:rsid w:val="3FD7A762"/>
    <w:rsid w:val="3FDE971F"/>
    <w:rsid w:val="3FDED075"/>
    <w:rsid w:val="3FDF15EB"/>
    <w:rsid w:val="3FE3E8FF"/>
    <w:rsid w:val="3FE5F23D"/>
    <w:rsid w:val="3FE72196"/>
    <w:rsid w:val="3FEB9EB6"/>
    <w:rsid w:val="3FED84BE"/>
    <w:rsid w:val="3FEF6A0D"/>
    <w:rsid w:val="3FF4C9AE"/>
    <w:rsid w:val="3FF51A68"/>
    <w:rsid w:val="3FF5D3A4"/>
    <w:rsid w:val="3FF70CE3"/>
    <w:rsid w:val="3FF78D92"/>
    <w:rsid w:val="3FF79402"/>
    <w:rsid w:val="3FF7AB96"/>
    <w:rsid w:val="3FF7CBBA"/>
    <w:rsid w:val="3FFB1872"/>
    <w:rsid w:val="3FFB62D6"/>
    <w:rsid w:val="3FFD023D"/>
    <w:rsid w:val="3FFD0F73"/>
    <w:rsid w:val="3FFDA89F"/>
    <w:rsid w:val="3FFE2777"/>
    <w:rsid w:val="3FFE3E26"/>
    <w:rsid w:val="3FFEE9C1"/>
    <w:rsid w:val="3FFF141B"/>
    <w:rsid w:val="3FFF8309"/>
    <w:rsid w:val="3FFF8953"/>
    <w:rsid w:val="3FFFAF81"/>
    <w:rsid w:val="40006D47"/>
    <w:rsid w:val="4014464D"/>
    <w:rsid w:val="40232352"/>
    <w:rsid w:val="40246906"/>
    <w:rsid w:val="40437713"/>
    <w:rsid w:val="40866E8D"/>
    <w:rsid w:val="409911D4"/>
    <w:rsid w:val="40AB047D"/>
    <w:rsid w:val="40B33D86"/>
    <w:rsid w:val="40C7036B"/>
    <w:rsid w:val="40ED2B42"/>
    <w:rsid w:val="40F326F6"/>
    <w:rsid w:val="410C6223"/>
    <w:rsid w:val="4142095B"/>
    <w:rsid w:val="4159301B"/>
    <w:rsid w:val="41B272EF"/>
    <w:rsid w:val="41B70763"/>
    <w:rsid w:val="41B77B83"/>
    <w:rsid w:val="41B95EC5"/>
    <w:rsid w:val="41BE0267"/>
    <w:rsid w:val="41CF6851"/>
    <w:rsid w:val="41D80042"/>
    <w:rsid w:val="41E23329"/>
    <w:rsid w:val="41E738F4"/>
    <w:rsid w:val="41E97D56"/>
    <w:rsid w:val="41EE220E"/>
    <w:rsid w:val="41F94353"/>
    <w:rsid w:val="420A4D58"/>
    <w:rsid w:val="421214F5"/>
    <w:rsid w:val="4230065E"/>
    <w:rsid w:val="42585E92"/>
    <w:rsid w:val="425B25E2"/>
    <w:rsid w:val="425E2C12"/>
    <w:rsid w:val="42763CB5"/>
    <w:rsid w:val="42905311"/>
    <w:rsid w:val="42921452"/>
    <w:rsid w:val="42CE7482"/>
    <w:rsid w:val="42EF6197"/>
    <w:rsid w:val="42F7625F"/>
    <w:rsid w:val="42F87F21"/>
    <w:rsid w:val="42FE104A"/>
    <w:rsid w:val="431B375E"/>
    <w:rsid w:val="43845A93"/>
    <w:rsid w:val="43B6794E"/>
    <w:rsid w:val="43B973C8"/>
    <w:rsid w:val="43CB260E"/>
    <w:rsid w:val="43D85282"/>
    <w:rsid w:val="43DF1D58"/>
    <w:rsid w:val="43F71012"/>
    <w:rsid w:val="43FE59B4"/>
    <w:rsid w:val="44070121"/>
    <w:rsid w:val="44327EB2"/>
    <w:rsid w:val="44451010"/>
    <w:rsid w:val="44477D23"/>
    <w:rsid w:val="444B6548"/>
    <w:rsid w:val="445F0733"/>
    <w:rsid w:val="446168C0"/>
    <w:rsid w:val="449A3C17"/>
    <w:rsid w:val="44CB5A59"/>
    <w:rsid w:val="44CE4878"/>
    <w:rsid w:val="44DA462C"/>
    <w:rsid w:val="44DE600B"/>
    <w:rsid w:val="44E26EDB"/>
    <w:rsid w:val="44E53730"/>
    <w:rsid w:val="44FC457A"/>
    <w:rsid w:val="44FE3D0C"/>
    <w:rsid w:val="4532002D"/>
    <w:rsid w:val="454E3BA6"/>
    <w:rsid w:val="45807E34"/>
    <w:rsid w:val="45A67C8C"/>
    <w:rsid w:val="45B9213C"/>
    <w:rsid w:val="45C057B3"/>
    <w:rsid w:val="45D15F8A"/>
    <w:rsid w:val="46071D3B"/>
    <w:rsid w:val="46264775"/>
    <w:rsid w:val="463F5E6A"/>
    <w:rsid w:val="464C5B74"/>
    <w:rsid w:val="46622362"/>
    <w:rsid w:val="46797568"/>
    <w:rsid w:val="467BF66E"/>
    <w:rsid w:val="46853BD0"/>
    <w:rsid w:val="46D05A1F"/>
    <w:rsid w:val="46E519DA"/>
    <w:rsid w:val="46E7FCE1"/>
    <w:rsid w:val="46F01EEC"/>
    <w:rsid w:val="470E0D08"/>
    <w:rsid w:val="47103B78"/>
    <w:rsid w:val="471314B6"/>
    <w:rsid w:val="471639B1"/>
    <w:rsid w:val="47195A3D"/>
    <w:rsid w:val="47475643"/>
    <w:rsid w:val="475B3870"/>
    <w:rsid w:val="4775558E"/>
    <w:rsid w:val="477B17B8"/>
    <w:rsid w:val="47870790"/>
    <w:rsid w:val="479F516D"/>
    <w:rsid w:val="47A77DEB"/>
    <w:rsid w:val="47B70132"/>
    <w:rsid w:val="47B901C2"/>
    <w:rsid w:val="47B96F05"/>
    <w:rsid w:val="47D17D39"/>
    <w:rsid w:val="47D9322C"/>
    <w:rsid w:val="47DE7183"/>
    <w:rsid w:val="47DE99B5"/>
    <w:rsid w:val="47E01C1D"/>
    <w:rsid w:val="47FC2272"/>
    <w:rsid w:val="47FF305E"/>
    <w:rsid w:val="480D04B6"/>
    <w:rsid w:val="480F3CA0"/>
    <w:rsid w:val="484032EC"/>
    <w:rsid w:val="484F47D0"/>
    <w:rsid w:val="48530CE5"/>
    <w:rsid w:val="48564B91"/>
    <w:rsid w:val="48765825"/>
    <w:rsid w:val="48AC295F"/>
    <w:rsid w:val="48F14633"/>
    <w:rsid w:val="48FF341C"/>
    <w:rsid w:val="490A1D84"/>
    <w:rsid w:val="49262DB0"/>
    <w:rsid w:val="492A2397"/>
    <w:rsid w:val="4963635C"/>
    <w:rsid w:val="499565DF"/>
    <w:rsid w:val="49A04BB2"/>
    <w:rsid w:val="49C52AAF"/>
    <w:rsid w:val="49D11685"/>
    <w:rsid w:val="49EF598B"/>
    <w:rsid w:val="49FC4759"/>
    <w:rsid w:val="4A0563B5"/>
    <w:rsid w:val="4A272DD5"/>
    <w:rsid w:val="4A2C237D"/>
    <w:rsid w:val="4A4378A4"/>
    <w:rsid w:val="4A530DAF"/>
    <w:rsid w:val="4A80390A"/>
    <w:rsid w:val="4AA2391F"/>
    <w:rsid w:val="4AB079AB"/>
    <w:rsid w:val="4AB74C48"/>
    <w:rsid w:val="4AC0016D"/>
    <w:rsid w:val="4AEF9F9A"/>
    <w:rsid w:val="4AF75BAD"/>
    <w:rsid w:val="4AF7DB98"/>
    <w:rsid w:val="4B00463C"/>
    <w:rsid w:val="4B254F51"/>
    <w:rsid w:val="4B39416C"/>
    <w:rsid w:val="4B397C76"/>
    <w:rsid w:val="4B3E8A44"/>
    <w:rsid w:val="4B40108B"/>
    <w:rsid w:val="4B4B28DB"/>
    <w:rsid w:val="4B567E9B"/>
    <w:rsid w:val="4B586D45"/>
    <w:rsid w:val="4B6F732E"/>
    <w:rsid w:val="4B735F20"/>
    <w:rsid w:val="4B7F50F8"/>
    <w:rsid w:val="4B9F000F"/>
    <w:rsid w:val="4BB05793"/>
    <w:rsid w:val="4BC37947"/>
    <w:rsid w:val="4BC66DE3"/>
    <w:rsid w:val="4BCF4954"/>
    <w:rsid w:val="4BD76836"/>
    <w:rsid w:val="4BDA78E9"/>
    <w:rsid w:val="4BE422C8"/>
    <w:rsid w:val="4BEC4EC9"/>
    <w:rsid w:val="4C003B54"/>
    <w:rsid w:val="4C256A38"/>
    <w:rsid w:val="4C3F6E04"/>
    <w:rsid w:val="4C4101B8"/>
    <w:rsid w:val="4C492292"/>
    <w:rsid w:val="4C522CCC"/>
    <w:rsid w:val="4C64627B"/>
    <w:rsid w:val="4C6C2A5F"/>
    <w:rsid w:val="4C78678C"/>
    <w:rsid w:val="4C791972"/>
    <w:rsid w:val="4C7B5965"/>
    <w:rsid w:val="4C972515"/>
    <w:rsid w:val="4CA6759E"/>
    <w:rsid w:val="4CE5C714"/>
    <w:rsid w:val="4CFE4141"/>
    <w:rsid w:val="4CFF5DF7"/>
    <w:rsid w:val="4D040803"/>
    <w:rsid w:val="4D193882"/>
    <w:rsid w:val="4D2A0CF9"/>
    <w:rsid w:val="4D2D2E58"/>
    <w:rsid w:val="4D350800"/>
    <w:rsid w:val="4D3D56D7"/>
    <w:rsid w:val="4D4C426A"/>
    <w:rsid w:val="4D4F4AD1"/>
    <w:rsid w:val="4D52579B"/>
    <w:rsid w:val="4D620ED7"/>
    <w:rsid w:val="4D772EA0"/>
    <w:rsid w:val="4D8817D4"/>
    <w:rsid w:val="4DBE4C01"/>
    <w:rsid w:val="4DCE5E74"/>
    <w:rsid w:val="4DCF06F4"/>
    <w:rsid w:val="4DCF0CEE"/>
    <w:rsid w:val="4DDB394C"/>
    <w:rsid w:val="4DE3D1E5"/>
    <w:rsid w:val="4DEEE57D"/>
    <w:rsid w:val="4DF43831"/>
    <w:rsid w:val="4DF74080"/>
    <w:rsid w:val="4DFF681C"/>
    <w:rsid w:val="4E1C5E3C"/>
    <w:rsid w:val="4E2B7947"/>
    <w:rsid w:val="4E462E63"/>
    <w:rsid w:val="4E5045CB"/>
    <w:rsid w:val="4E681438"/>
    <w:rsid w:val="4E8FD30D"/>
    <w:rsid w:val="4EB2722C"/>
    <w:rsid w:val="4ECA5A68"/>
    <w:rsid w:val="4EDF3D81"/>
    <w:rsid w:val="4EF50A2B"/>
    <w:rsid w:val="4F067B6B"/>
    <w:rsid w:val="4F1BC89E"/>
    <w:rsid w:val="4F1ECAA2"/>
    <w:rsid w:val="4F286579"/>
    <w:rsid w:val="4F3E15AD"/>
    <w:rsid w:val="4F4BE283"/>
    <w:rsid w:val="4F5F0D16"/>
    <w:rsid w:val="4F5F1BA9"/>
    <w:rsid w:val="4F65BF73"/>
    <w:rsid w:val="4F670E54"/>
    <w:rsid w:val="4F67DBB8"/>
    <w:rsid w:val="4F6F7C73"/>
    <w:rsid w:val="4F7A3174"/>
    <w:rsid w:val="4F7B615F"/>
    <w:rsid w:val="4F802B28"/>
    <w:rsid w:val="4F950E85"/>
    <w:rsid w:val="4F9B793A"/>
    <w:rsid w:val="4FB77BDE"/>
    <w:rsid w:val="4FBB7B3F"/>
    <w:rsid w:val="4FBBFFFF"/>
    <w:rsid w:val="4FBEF23D"/>
    <w:rsid w:val="4FBF3BB3"/>
    <w:rsid w:val="4FC4FDA2"/>
    <w:rsid w:val="4FCF22C5"/>
    <w:rsid w:val="4FDD4304"/>
    <w:rsid w:val="4FE0412D"/>
    <w:rsid w:val="4FE7336A"/>
    <w:rsid w:val="4FEF64F1"/>
    <w:rsid w:val="4FF250DF"/>
    <w:rsid w:val="4FF754EB"/>
    <w:rsid w:val="4FF7900C"/>
    <w:rsid w:val="4FFD0008"/>
    <w:rsid w:val="4FFD403B"/>
    <w:rsid w:val="4FFD8ACC"/>
    <w:rsid w:val="4FFF014C"/>
    <w:rsid w:val="4FFF3B51"/>
    <w:rsid w:val="4FFF5AB7"/>
    <w:rsid w:val="4FFFA315"/>
    <w:rsid w:val="501739B9"/>
    <w:rsid w:val="5017A2D6"/>
    <w:rsid w:val="5025471F"/>
    <w:rsid w:val="504C7118"/>
    <w:rsid w:val="50797D55"/>
    <w:rsid w:val="509070AA"/>
    <w:rsid w:val="509A06BB"/>
    <w:rsid w:val="50A53AC1"/>
    <w:rsid w:val="50AB24B6"/>
    <w:rsid w:val="50F402F5"/>
    <w:rsid w:val="51126074"/>
    <w:rsid w:val="51282891"/>
    <w:rsid w:val="51384C75"/>
    <w:rsid w:val="513B4C74"/>
    <w:rsid w:val="513DD22D"/>
    <w:rsid w:val="515171E7"/>
    <w:rsid w:val="51592370"/>
    <w:rsid w:val="515B3242"/>
    <w:rsid w:val="51752390"/>
    <w:rsid w:val="51810BBA"/>
    <w:rsid w:val="51871469"/>
    <w:rsid w:val="519A5C0F"/>
    <w:rsid w:val="51DA0210"/>
    <w:rsid w:val="51DB1421"/>
    <w:rsid w:val="51DC09BD"/>
    <w:rsid w:val="52002910"/>
    <w:rsid w:val="52163A75"/>
    <w:rsid w:val="5250612D"/>
    <w:rsid w:val="5267D6EE"/>
    <w:rsid w:val="528F6A26"/>
    <w:rsid w:val="52943C30"/>
    <w:rsid w:val="52954479"/>
    <w:rsid w:val="52A47C75"/>
    <w:rsid w:val="52C401BB"/>
    <w:rsid w:val="52CD774A"/>
    <w:rsid w:val="52DF56BC"/>
    <w:rsid w:val="52E66AC8"/>
    <w:rsid w:val="52F3513B"/>
    <w:rsid w:val="52FE2C59"/>
    <w:rsid w:val="52FFA6A1"/>
    <w:rsid w:val="530124F0"/>
    <w:rsid w:val="530C74D3"/>
    <w:rsid w:val="533643C2"/>
    <w:rsid w:val="53485D2A"/>
    <w:rsid w:val="534962AE"/>
    <w:rsid w:val="53716CF1"/>
    <w:rsid w:val="53794B91"/>
    <w:rsid w:val="5385B4F6"/>
    <w:rsid w:val="539F507C"/>
    <w:rsid w:val="53A08514"/>
    <w:rsid w:val="53A1986A"/>
    <w:rsid w:val="53BE0205"/>
    <w:rsid w:val="53C6628E"/>
    <w:rsid w:val="53CA9A6F"/>
    <w:rsid w:val="53F73D8B"/>
    <w:rsid w:val="53FBCBB7"/>
    <w:rsid w:val="53FCECED"/>
    <w:rsid w:val="53FD3B4E"/>
    <w:rsid w:val="53FDC347"/>
    <w:rsid w:val="54352EA3"/>
    <w:rsid w:val="543C2BBC"/>
    <w:rsid w:val="544015B7"/>
    <w:rsid w:val="546B3678"/>
    <w:rsid w:val="547267B4"/>
    <w:rsid w:val="54783E5F"/>
    <w:rsid w:val="547D53E3"/>
    <w:rsid w:val="54856268"/>
    <w:rsid w:val="548A2F5B"/>
    <w:rsid w:val="54986B35"/>
    <w:rsid w:val="54A65D48"/>
    <w:rsid w:val="54A95AD0"/>
    <w:rsid w:val="54C4536D"/>
    <w:rsid w:val="551F1A20"/>
    <w:rsid w:val="55401A06"/>
    <w:rsid w:val="555D1BF4"/>
    <w:rsid w:val="55635CAA"/>
    <w:rsid w:val="556C0474"/>
    <w:rsid w:val="5573743A"/>
    <w:rsid w:val="5573B32D"/>
    <w:rsid w:val="55954B5D"/>
    <w:rsid w:val="55960432"/>
    <w:rsid w:val="55A15B1B"/>
    <w:rsid w:val="55B77AE1"/>
    <w:rsid w:val="55B7E9ED"/>
    <w:rsid w:val="55D44B87"/>
    <w:rsid w:val="55EE27CE"/>
    <w:rsid w:val="55FE61F2"/>
    <w:rsid w:val="55FF597D"/>
    <w:rsid w:val="55FF6743"/>
    <w:rsid w:val="56380630"/>
    <w:rsid w:val="56490940"/>
    <w:rsid w:val="566F5491"/>
    <w:rsid w:val="56765D6A"/>
    <w:rsid w:val="56777EDD"/>
    <w:rsid w:val="567D466D"/>
    <w:rsid w:val="567E6A2C"/>
    <w:rsid w:val="56A5AA97"/>
    <w:rsid w:val="56D32D2C"/>
    <w:rsid w:val="56DE352B"/>
    <w:rsid w:val="56E80C4B"/>
    <w:rsid w:val="56F32C5F"/>
    <w:rsid w:val="56F7E374"/>
    <w:rsid w:val="56F94157"/>
    <w:rsid w:val="57021B14"/>
    <w:rsid w:val="570339C5"/>
    <w:rsid w:val="5708E69D"/>
    <w:rsid w:val="570D1BD5"/>
    <w:rsid w:val="572AACC5"/>
    <w:rsid w:val="57383329"/>
    <w:rsid w:val="57415662"/>
    <w:rsid w:val="57430414"/>
    <w:rsid w:val="574FFF68"/>
    <w:rsid w:val="57527C54"/>
    <w:rsid w:val="57560D8B"/>
    <w:rsid w:val="575A75C3"/>
    <w:rsid w:val="57696BD0"/>
    <w:rsid w:val="577F14B4"/>
    <w:rsid w:val="577F8BB4"/>
    <w:rsid w:val="57896366"/>
    <w:rsid w:val="578EAAC9"/>
    <w:rsid w:val="579FA7D3"/>
    <w:rsid w:val="57BF153B"/>
    <w:rsid w:val="57C38019"/>
    <w:rsid w:val="57D5E868"/>
    <w:rsid w:val="57D74A71"/>
    <w:rsid w:val="57E7B097"/>
    <w:rsid w:val="57EA8F71"/>
    <w:rsid w:val="57EEA0A8"/>
    <w:rsid w:val="57EFC992"/>
    <w:rsid w:val="57F00403"/>
    <w:rsid w:val="57F4FF10"/>
    <w:rsid w:val="57F637D7"/>
    <w:rsid w:val="57FAC2AB"/>
    <w:rsid w:val="57FB7805"/>
    <w:rsid w:val="57FF0C6F"/>
    <w:rsid w:val="57FF7493"/>
    <w:rsid w:val="57FFD0B8"/>
    <w:rsid w:val="57FFD724"/>
    <w:rsid w:val="580869E0"/>
    <w:rsid w:val="580A2044"/>
    <w:rsid w:val="58614D1B"/>
    <w:rsid w:val="5865252D"/>
    <w:rsid w:val="58774DC8"/>
    <w:rsid w:val="587D3E32"/>
    <w:rsid w:val="58811FAA"/>
    <w:rsid w:val="58900D5F"/>
    <w:rsid w:val="58A00F69"/>
    <w:rsid w:val="58C02759"/>
    <w:rsid w:val="58DB3A23"/>
    <w:rsid w:val="58E75ABC"/>
    <w:rsid w:val="58E836CC"/>
    <w:rsid w:val="58FB14C4"/>
    <w:rsid w:val="58FF4AD1"/>
    <w:rsid w:val="591164EE"/>
    <w:rsid w:val="59125192"/>
    <w:rsid w:val="59185831"/>
    <w:rsid w:val="59186229"/>
    <w:rsid w:val="591D096D"/>
    <w:rsid w:val="592D10B6"/>
    <w:rsid w:val="59497965"/>
    <w:rsid w:val="596A2704"/>
    <w:rsid w:val="598A5A70"/>
    <w:rsid w:val="598B235C"/>
    <w:rsid w:val="59910FC2"/>
    <w:rsid w:val="59AE5666"/>
    <w:rsid w:val="59AF0DA2"/>
    <w:rsid w:val="59AF64B1"/>
    <w:rsid w:val="59BF6BF8"/>
    <w:rsid w:val="59CA010B"/>
    <w:rsid w:val="59CABE31"/>
    <w:rsid w:val="59E5EEC5"/>
    <w:rsid w:val="59EC5E67"/>
    <w:rsid w:val="59EFBAA1"/>
    <w:rsid w:val="59F06276"/>
    <w:rsid w:val="59FFE171"/>
    <w:rsid w:val="5A363880"/>
    <w:rsid w:val="5A3BC165"/>
    <w:rsid w:val="5A7F17E5"/>
    <w:rsid w:val="5A9132BD"/>
    <w:rsid w:val="5AA84C65"/>
    <w:rsid w:val="5AAB50CA"/>
    <w:rsid w:val="5ABB46A4"/>
    <w:rsid w:val="5AFBFE54"/>
    <w:rsid w:val="5AFF210A"/>
    <w:rsid w:val="5B0567EC"/>
    <w:rsid w:val="5B0D65C3"/>
    <w:rsid w:val="5B3927B0"/>
    <w:rsid w:val="5B4D17B1"/>
    <w:rsid w:val="5B4E4E87"/>
    <w:rsid w:val="5B6D4DA2"/>
    <w:rsid w:val="5B777EB6"/>
    <w:rsid w:val="5B9FBFD5"/>
    <w:rsid w:val="5BAD1710"/>
    <w:rsid w:val="5BB731F2"/>
    <w:rsid w:val="5BBE1EDD"/>
    <w:rsid w:val="5BC94020"/>
    <w:rsid w:val="5BD7668C"/>
    <w:rsid w:val="5BD8101D"/>
    <w:rsid w:val="5BD925F1"/>
    <w:rsid w:val="5BE38DFB"/>
    <w:rsid w:val="5BE43A10"/>
    <w:rsid w:val="5BF32DA9"/>
    <w:rsid w:val="5BF623E1"/>
    <w:rsid w:val="5BF7D375"/>
    <w:rsid w:val="5BFC06BB"/>
    <w:rsid w:val="5BFE3F6B"/>
    <w:rsid w:val="5BFF779F"/>
    <w:rsid w:val="5BFF859E"/>
    <w:rsid w:val="5C176B01"/>
    <w:rsid w:val="5C32571A"/>
    <w:rsid w:val="5C3F24AC"/>
    <w:rsid w:val="5C4F6936"/>
    <w:rsid w:val="5C56F352"/>
    <w:rsid w:val="5C6ED8F0"/>
    <w:rsid w:val="5C80625F"/>
    <w:rsid w:val="5C915CE1"/>
    <w:rsid w:val="5CBD0E1B"/>
    <w:rsid w:val="5CC72BBE"/>
    <w:rsid w:val="5CCFBA45"/>
    <w:rsid w:val="5CDD469A"/>
    <w:rsid w:val="5CFF1419"/>
    <w:rsid w:val="5CFF5AFE"/>
    <w:rsid w:val="5CFFCCF7"/>
    <w:rsid w:val="5D002B56"/>
    <w:rsid w:val="5D1426C8"/>
    <w:rsid w:val="5D1430A8"/>
    <w:rsid w:val="5D321E46"/>
    <w:rsid w:val="5D326258"/>
    <w:rsid w:val="5D3D3FF9"/>
    <w:rsid w:val="5D4F6922"/>
    <w:rsid w:val="5D536630"/>
    <w:rsid w:val="5D621F4C"/>
    <w:rsid w:val="5D69D5DA"/>
    <w:rsid w:val="5D6EC321"/>
    <w:rsid w:val="5D7C012D"/>
    <w:rsid w:val="5D8C1F55"/>
    <w:rsid w:val="5D9A0233"/>
    <w:rsid w:val="5D9B2BA9"/>
    <w:rsid w:val="5D9FB54C"/>
    <w:rsid w:val="5DAB7571"/>
    <w:rsid w:val="5DB51137"/>
    <w:rsid w:val="5DBCC857"/>
    <w:rsid w:val="5DBD4FDF"/>
    <w:rsid w:val="5DBE46E9"/>
    <w:rsid w:val="5DBE5A49"/>
    <w:rsid w:val="5DBE7D93"/>
    <w:rsid w:val="5DCF7A48"/>
    <w:rsid w:val="5DD33940"/>
    <w:rsid w:val="5DD3FD94"/>
    <w:rsid w:val="5DDAC841"/>
    <w:rsid w:val="5DDB4EB0"/>
    <w:rsid w:val="5DDF0F2C"/>
    <w:rsid w:val="5DDFA3EC"/>
    <w:rsid w:val="5DE6B92E"/>
    <w:rsid w:val="5DECCBB0"/>
    <w:rsid w:val="5DED8A81"/>
    <w:rsid w:val="5DEF8D55"/>
    <w:rsid w:val="5DF5244E"/>
    <w:rsid w:val="5DF91DD1"/>
    <w:rsid w:val="5DFD1A0D"/>
    <w:rsid w:val="5DFD2F63"/>
    <w:rsid w:val="5DFFB0A8"/>
    <w:rsid w:val="5DFFD947"/>
    <w:rsid w:val="5E1DA01E"/>
    <w:rsid w:val="5E2AAAC2"/>
    <w:rsid w:val="5E440009"/>
    <w:rsid w:val="5E4470C1"/>
    <w:rsid w:val="5E564465"/>
    <w:rsid w:val="5E6B1A10"/>
    <w:rsid w:val="5E7F46CF"/>
    <w:rsid w:val="5E7F7358"/>
    <w:rsid w:val="5E832C7B"/>
    <w:rsid w:val="5E867323"/>
    <w:rsid w:val="5E8872BC"/>
    <w:rsid w:val="5E8D5895"/>
    <w:rsid w:val="5EA29B38"/>
    <w:rsid w:val="5EAD0AB5"/>
    <w:rsid w:val="5EAE5E22"/>
    <w:rsid w:val="5EBBDB9D"/>
    <w:rsid w:val="5EC277D1"/>
    <w:rsid w:val="5ED85B7D"/>
    <w:rsid w:val="5EDF1EB2"/>
    <w:rsid w:val="5EDF3E34"/>
    <w:rsid w:val="5EE43421"/>
    <w:rsid w:val="5EEDF878"/>
    <w:rsid w:val="5EEFFD87"/>
    <w:rsid w:val="5EF47F5A"/>
    <w:rsid w:val="5EF504E5"/>
    <w:rsid w:val="5EFB3386"/>
    <w:rsid w:val="5EFC0AC7"/>
    <w:rsid w:val="5EFDC70C"/>
    <w:rsid w:val="5EFE9AFB"/>
    <w:rsid w:val="5EFF332D"/>
    <w:rsid w:val="5EFFE0F7"/>
    <w:rsid w:val="5F1779BD"/>
    <w:rsid w:val="5F1D7043"/>
    <w:rsid w:val="5F262D3F"/>
    <w:rsid w:val="5F3400E7"/>
    <w:rsid w:val="5F397460"/>
    <w:rsid w:val="5F3B484E"/>
    <w:rsid w:val="5F3CAF4E"/>
    <w:rsid w:val="5F3F1D93"/>
    <w:rsid w:val="5F3FFA72"/>
    <w:rsid w:val="5F57229E"/>
    <w:rsid w:val="5F5B4B03"/>
    <w:rsid w:val="5F5B55FC"/>
    <w:rsid w:val="5F5E450D"/>
    <w:rsid w:val="5F5EA6CC"/>
    <w:rsid w:val="5F5F5B20"/>
    <w:rsid w:val="5F65E3B3"/>
    <w:rsid w:val="5F6C2357"/>
    <w:rsid w:val="5F6F1624"/>
    <w:rsid w:val="5F6F4600"/>
    <w:rsid w:val="5F6FC477"/>
    <w:rsid w:val="5F7304C4"/>
    <w:rsid w:val="5F7F92B7"/>
    <w:rsid w:val="5F7FA85A"/>
    <w:rsid w:val="5F7FC177"/>
    <w:rsid w:val="5F8D5CB5"/>
    <w:rsid w:val="5F8F195C"/>
    <w:rsid w:val="5F964CBB"/>
    <w:rsid w:val="5F9D8EA0"/>
    <w:rsid w:val="5F9DED46"/>
    <w:rsid w:val="5FA30DE0"/>
    <w:rsid w:val="5FAB8342"/>
    <w:rsid w:val="5FABB64C"/>
    <w:rsid w:val="5FAE2087"/>
    <w:rsid w:val="5FAF7B49"/>
    <w:rsid w:val="5FAF8418"/>
    <w:rsid w:val="5FB4F1BB"/>
    <w:rsid w:val="5FBC271F"/>
    <w:rsid w:val="5FBDAE29"/>
    <w:rsid w:val="5FBDD4EE"/>
    <w:rsid w:val="5FBDEA4E"/>
    <w:rsid w:val="5FBF4B68"/>
    <w:rsid w:val="5FBFA122"/>
    <w:rsid w:val="5FD13E26"/>
    <w:rsid w:val="5FD786B8"/>
    <w:rsid w:val="5FD7B98C"/>
    <w:rsid w:val="5FDA9A9B"/>
    <w:rsid w:val="5FDB9CA8"/>
    <w:rsid w:val="5FDBBDF8"/>
    <w:rsid w:val="5FDD23AA"/>
    <w:rsid w:val="5FE51100"/>
    <w:rsid w:val="5FE91578"/>
    <w:rsid w:val="5FEF57ED"/>
    <w:rsid w:val="5FEFE0CA"/>
    <w:rsid w:val="5FF39781"/>
    <w:rsid w:val="5FF6895D"/>
    <w:rsid w:val="5FF746CC"/>
    <w:rsid w:val="5FF7C484"/>
    <w:rsid w:val="5FFB654C"/>
    <w:rsid w:val="5FFD6A62"/>
    <w:rsid w:val="5FFDA756"/>
    <w:rsid w:val="5FFE59AD"/>
    <w:rsid w:val="5FFE6A72"/>
    <w:rsid w:val="5FFEAAFD"/>
    <w:rsid w:val="5FFEE377"/>
    <w:rsid w:val="5FFEE575"/>
    <w:rsid w:val="5FFF0770"/>
    <w:rsid w:val="5FFF1193"/>
    <w:rsid w:val="5FFF4FD0"/>
    <w:rsid w:val="5FFF8538"/>
    <w:rsid w:val="5FFF9DB8"/>
    <w:rsid w:val="5FFFAADF"/>
    <w:rsid w:val="5FFFACFD"/>
    <w:rsid w:val="5FFFBF43"/>
    <w:rsid w:val="5FFFC141"/>
    <w:rsid w:val="5FFFFAB2"/>
    <w:rsid w:val="60094BC3"/>
    <w:rsid w:val="602B1B68"/>
    <w:rsid w:val="60314288"/>
    <w:rsid w:val="603D335A"/>
    <w:rsid w:val="604A1C18"/>
    <w:rsid w:val="604B6E50"/>
    <w:rsid w:val="6085261D"/>
    <w:rsid w:val="608A369A"/>
    <w:rsid w:val="60984801"/>
    <w:rsid w:val="60A52DE5"/>
    <w:rsid w:val="60B7093B"/>
    <w:rsid w:val="611D5EF2"/>
    <w:rsid w:val="618509F9"/>
    <w:rsid w:val="618601D7"/>
    <w:rsid w:val="61985036"/>
    <w:rsid w:val="61B56411"/>
    <w:rsid w:val="61CB763F"/>
    <w:rsid w:val="61E47040"/>
    <w:rsid w:val="61E70014"/>
    <w:rsid w:val="61F84649"/>
    <w:rsid w:val="61FF9A83"/>
    <w:rsid w:val="620A1F25"/>
    <w:rsid w:val="622A2B85"/>
    <w:rsid w:val="624D408D"/>
    <w:rsid w:val="625252B0"/>
    <w:rsid w:val="62680498"/>
    <w:rsid w:val="629C2FB5"/>
    <w:rsid w:val="62DC974C"/>
    <w:rsid w:val="62DE7CE3"/>
    <w:rsid w:val="62F56BA6"/>
    <w:rsid w:val="62FFA489"/>
    <w:rsid w:val="630EE880"/>
    <w:rsid w:val="632153CC"/>
    <w:rsid w:val="633E2C27"/>
    <w:rsid w:val="636D2B43"/>
    <w:rsid w:val="63701985"/>
    <w:rsid w:val="63702BBA"/>
    <w:rsid w:val="63744F7C"/>
    <w:rsid w:val="6377EC2B"/>
    <w:rsid w:val="63796946"/>
    <w:rsid w:val="638FC87A"/>
    <w:rsid w:val="63920FDA"/>
    <w:rsid w:val="639BBE49"/>
    <w:rsid w:val="63A996DF"/>
    <w:rsid w:val="63B102E3"/>
    <w:rsid w:val="63CD36E1"/>
    <w:rsid w:val="63CF86E2"/>
    <w:rsid w:val="63DDB8E4"/>
    <w:rsid w:val="63E21E40"/>
    <w:rsid w:val="640F09B5"/>
    <w:rsid w:val="641062E0"/>
    <w:rsid w:val="642A5AA5"/>
    <w:rsid w:val="642E509D"/>
    <w:rsid w:val="644B44A2"/>
    <w:rsid w:val="64507F99"/>
    <w:rsid w:val="648655CD"/>
    <w:rsid w:val="649326A8"/>
    <w:rsid w:val="64A15407"/>
    <w:rsid w:val="64AE45AB"/>
    <w:rsid w:val="64ED4C69"/>
    <w:rsid w:val="64F00B42"/>
    <w:rsid w:val="64FB8A66"/>
    <w:rsid w:val="64FFE14A"/>
    <w:rsid w:val="650401E6"/>
    <w:rsid w:val="65245852"/>
    <w:rsid w:val="65254DA4"/>
    <w:rsid w:val="652C4B33"/>
    <w:rsid w:val="653B1512"/>
    <w:rsid w:val="65425B70"/>
    <w:rsid w:val="656F1A32"/>
    <w:rsid w:val="656F7D3F"/>
    <w:rsid w:val="657F3C0E"/>
    <w:rsid w:val="65850382"/>
    <w:rsid w:val="65967419"/>
    <w:rsid w:val="659FB897"/>
    <w:rsid w:val="65C5456C"/>
    <w:rsid w:val="65E26823"/>
    <w:rsid w:val="65ED5A3C"/>
    <w:rsid w:val="65F608C0"/>
    <w:rsid w:val="65F76E5A"/>
    <w:rsid w:val="65FAD74B"/>
    <w:rsid w:val="65FC6706"/>
    <w:rsid w:val="66146945"/>
    <w:rsid w:val="6615219B"/>
    <w:rsid w:val="661F18D7"/>
    <w:rsid w:val="667610D2"/>
    <w:rsid w:val="6682474A"/>
    <w:rsid w:val="66871F70"/>
    <w:rsid w:val="668FCDAB"/>
    <w:rsid w:val="6691132F"/>
    <w:rsid w:val="669E5DD6"/>
    <w:rsid w:val="66BE01BD"/>
    <w:rsid w:val="66BF2A6F"/>
    <w:rsid w:val="66C413EE"/>
    <w:rsid w:val="66CC4BCB"/>
    <w:rsid w:val="66CD2099"/>
    <w:rsid w:val="66D534B2"/>
    <w:rsid w:val="66E30DA0"/>
    <w:rsid w:val="66E8B933"/>
    <w:rsid w:val="66EF43A4"/>
    <w:rsid w:val="670E3E35"/>
    <w:rsid w:val="67205350"/>
    <w:rsid w:val="6739DDE2"/>
    <w:rsid w:val="674BA882"/>
    <w:rsid w:val="674D1D94"/>
    <w:rsid w:val="67566C3E"/>
    <w:rsid w:val="67708CB0"/>
    <w:rsid w:val="67711803"/>
    <w:rsid w:val="677538CC"/>
    <w:rsid w:val="677E5C3D"/>
    <w:rsid w:val="677F3E39"/>
    <w:rsid w:val="67864F9D"/>
    <w:rsid w:val="678A758C"/>
    <w:rsid w:val="67927C7F"/>
    <w:rsid w:val="67A7482B"/>
    <w:rsid w:val="67A944A9"/>
    <w:rsid w:val="67BD250D"/>
    <w:rsid w:val="67BF5452"/>
    <w:rsid w:val="67BF9F31"/>
    <w:rsid w:val="67BFFB40"/>
    <w:rsid w:val="67C61C6E"/>
    <w:rsid w:val="67C7489F"/>
    <w:rsid w:val="67DFD9CB"/>
    <w:rsid w:val="67E20055"/>
    <w:rsid w:val="67E27AAA"/>
    <w:rsid w:val="67E731CD"/>
    <w:rsid w:val="67F3A919"/>
    <w:rsid w:val="67F70DDF"/>
    <w:rsid w:val="67F83C72"/>
    <w:rsid w:val="67FAAB85"/>
    <w:rsid w:val="67FBCBAA"/>
    <w:rsid w:val="67FCEF2F"/>
    <w:rsid w:val="67FCF646"/>
    <w:rsid w:val="67FE5D31"/>
    <w:rsid w:val="67FE8571"/>
    <w:rsid w:val="67FF170F"/>
    <w:rsid w:val="680E69F0"/>
    <w:rsid w:val="681520AC"/>
    <w:rsid w:val="681E76FB"/>
    <w:rsid w:val="682B6E37"/>
    <w:rsid w:val="68362331"/>
    <w:rsid w:val="685D2038"/>
    <w:rsid w:val="68746D72"/>
    <w:rsid w:val="689128EA"/>
    <w:rsid w:val="68AF3504"/>
    <w:rsid w:val="68C24652"/>
    <w:rsid w:val="68DD2879"/>
    <w:rsid w:val="68DD3EE0"/>
    <w:rsid w:val="68E05A51"/>
    <w:rsid w:val="68E75A7B"/>
    <w:rsid w:val="68FDD38C"/>
    <w:rsid w:val="68FE24D6"/>
    <w:rsid w:val="6908436D"/>
    <w:rsid w:val="692B1BCE"/>
    <w:rsid w:val="692FB4BE"/>
    <w:rsid w:val="69691FFB"/>
    <w:rsid w:val="69775188"/>
    <w:rsid w:val="69791AE8"/>
    <w:rsid w:val="697C7564"/>
    <w:rsid w:val="69841D4C"/>
    <w:rsid w:val="69979367"/>
    <w:rsid w:val="69AC4D8F"/>
    <w:rsid w:val="69B5607B"/>
    <w:rsid w:val="69B7E86A"/>
    <w:rsid w:val="69BF0EC0"/>
    <w:rsid w:val="69BF7689"/>
    <w:rsid w:val="69C6488A"/>
    <w:rsid w:val="69D61F42"/>
    <w:rsid w:val="69E64B6F"/>
    <w:rsid w:val="69ED68B2"/>
    <w:rsid w:val="69F27D15"/>
    <w:rsid w:val="69F621A1"/>
    <w:rsid w:val="69FC01D4"/>
    <w:rsid w:val="69FDA82F"/>
    <w:rsid w:val="69FF25BE"/>
    <w:rsid w:val="6A1407B8"/>
    <w:rsid w:val="6A1C35D3"/>
    <w:rsid w:val="6A1F2448"/>
    <w:rsid w:val="6A2060E2"/>
    <w:rsid w:val="6A7D1B1D"/>
    <w:rsid w:val="6A887760"/>
    <w:rsid w:val="6AB7EC0B"/>
    <w:rsid w:val="6ABF63D8"/>
    <w:rsid w:val="6ADC439E"/>
    <w:rsid w:val="6ADF4070"/>
    <w:rsid w:val="6AEF079B"/>
    <w:rsid w:val="6AFD9CB6"/>
    <w:rsid w:val="6B08305F"/>
    <w:rsid w:val="6B1E0E70"/>
    <w:rsid w:val="6B2BFC28"/>
    <w:rsid w:val="6B36AA57"/>
    <w:rsid w:val="6B3E02F5"/>
    <w:rsid w:val="6B3E54E1"/>
    <w:rsid w:val="6B3E6703"/>
    <w:rsid w:val="6B3E6D7F"/>
    <w:rsid w:val="6B4C25E2"/>
    <w:rsid w:val="6B6B9232"/>
    <w:rsid w:val="6B707287"/>
    <w:rsid w:val="6B71BED4"/>
    <w:rsid w:val="6B74043C"/>
    <w:rsid w:val="6B8A7574"/>
    <w:rsid w:val="6B9B08C2"/>
    <w:rsid w:val="6BA204F5"/>
    <w:rsid w:val="6BB267D6"/>
    <w:rsid w:val="6BBA2957"/>
    <w:rsid w:val="6BBFE234"/>
    <w:rsid w:val="6BC01D9B"/>
    <w:rsid w:val="6BCF36AA"/>
    <w:rsid w:val="6BCF53F9"/>
    <w:rsid w:val="6BCF685D"/>
    <w:rsid w:val="6BD49FA4"/>
    <w:rsid w:val="6BDD2710"/>
    <w:rsid w:val="6BDF8A9F"/>
    <w:rsid w:val="6BE16C98"/>
    <w:rsid w:val="6BEB2839"/>
    <w:rsid w:val="6BEB3354"/>
    <w:rsid w:val="6BFBA4D4"/>
    <w:rsid w:val="6BFBEC45"/>
    <w:rsid w:val="6BFD1226"/>
    <w:rsid w:val="6BFD23C8"/>
    <w:rsid w:val="6BFE4F1D"/>
    <w:rsid w:val="6BFF8C4D"/>
    <w:rsid w:val="6BFFAEA6"/>
    <w:rsid w:val="6BFFB919"/>
    <w:rsid w:val="6BFFEEA6"/>
    <w:rsid w:val="6C3A6095"/>
    <w:rsid w:val="6C58371A"/>
    <w:rsid w:val="6C940764"/>
    <w:rsid w:val="6CA525C4"/>
    <w:rsid w:val="6CC013E9"/>
    <w:rsid w:val="6CC543EF"/>
    <w:rsid w:val="6CC779D3"/>
    <w:rsid w:val="6CD63DC0"/>
    <w:rsid w:val="6CF720B9"/>
    <w:rsid w:val="6CF9110F"/>
    <w:rsid w:val="6CFB6552"/>
    <w:rsid w:val="6CFD7A83"/>
    <w:rsid w:val="6CFE27B3"/>
    <w:rsid w:val="6D096CC5"/>
    <w:rsid w:val="6D173AA8"/>
    <w:rsid w:val="6D207219"/>
    <w:rsid w:val="6D2A2AC5"/>
    <w:rsid w:val="6D2E1061"/>
    <w:rsid w:val="6D510041"/>
    <w:rsid w:val="6D576402"/>
    <w:rsid w:val="6D5F2C0B"/>
    <w:rsid w:val="6D65008E"/>
    <w:rsid w:val="6D6E65AA"/>
    <w:rsid w:val="6D7CEFB3"/>
    <w:rsid w:val="6D7E50A1"/>
    <w:rsid w:val="6D8D4394"/>
    <w:rsid w:val="6D8E475B"/>
    <w:rsid w:val="6D8F27B5"/>
    <w:rsid w:val="6D9F208E"/>
    <w:rsid w:val="6DAB34F7"/>
    <w:rsid w:val="6DB270E7"/>
    <w:rsid w:val="6DBDA9D8"/>
    <w:rsid w:val="6DBFDAFC"/>
    <w:rsid w:val="6DC60CE8"/>
    <w:rsid w:val="6DCA584E"/>
    <w:rsid w:val="6DD6AAEB"/>
    <w:rsid w:val="6DD84315"/>
    <w:rsid w:val="6DDC6039"/>
    <w:rsid w:val="6DEBF89E"/>
    <w:rsid w:val="6DEF4351"/>
    <w:rsid w:val="6DEF9D4D"/>
    <w:rsid w:val="6DF3048B"/>
    <w:rsid w:val="6DF772C0"/>
    <w:rsid w:val="6DFC31A6"/>
    <w:rsid w:val="6DFDB985"/>
    <w:rsid w:val="6E0C33F9"/>
    <w:rsid w:val="6E183459"/>
    <w:rsid w:val="6E247186"/>
    <w:rsid w:val="6E276FC2"/>
    <w:rsid w:val="6E3C45CD"/>
    <w:rsid w:val="6E3F4AD6"/>
    <w:rsid w:val="6E3F4CB3"/>
    <w:rsid w:val="6E660105"/>
    <w:rsid w:val="6E7FE4FF"/>
    <w:rsid w:val="6E95AF05"/>
    <w:rsid w:val="6E9B73C3"/>
    <w:rsid w:val="6E9D4000"/>
    <w:rsid w:val="6EB70BD3"/>
    <w:rsid w:val="6EC7FA3B"/>
    <w:rsid w:val="6ECB07CB"/>
    <w:rsid w:val="6ECD7921"/>
    <w:rsid w:val="6ED01A0B"/>
    <w:rsid w:val="6EDF2622"/>
    <w:rsid w:val="6EDFF272"/>
    <w:rsid w:val="6EED4959"/>
    <w:rsid w:val="6EF38C79"/>
    <w:rsid w:val="6EFA11CE"/>
    <w:rsid w:val="6EFB2BCE"/>
    <w:rsid w:val="6EFB335C"/>
    <w:rsid w:val="6EFD3142"/>
    <w:rsid w:val="6EFE8914"/>
    <w:rsid w:val="6EFF100F"/>
    <w:rsid w:val="6EFF2D7C"/>
    <w:rsid w:val="6EFF401C"/>
    <w:rsid w:val="6EFFDA90"/>
    <w:rsid w:val="6EFFEE70"/>
    <w:rsid w:val="6F272A40"/>
    <w:rsid w:val="6F279207"/>
    <w:rsid w:val="6F373A21"/>
    <w:rsid w:val="6F3A0407"/>
    <w:rsid w:val="6F3B5F5F"/>
    <w:rsid w:val="6F3D587B"/>
    <w:rsid w:val="6F400DC2"/>
    <w:rsid w:val="6F440C9B"/>
    <w:rsid w:val="6F4AC086"/>
    <w:rsid w:val="6F543576"/>
    <w:rsid w:val="6F5A30CA"/>
    <w:rsid w:val="6F5B8EE5"/>
    <w:rsid w:val="6F5FE83F"/>
    <w:rsid w:val="6F5FEB1D"/>
    <w:rsid w:val="6F65D390"/>
    <w:rsid w:val="6F67789C"/>
    <w:rsid w:val="6F6F2E74"/>
    <w:rsid w:val="6F6F671E"/>
    <w:rsid w:val="6F7DA893"/>
    <w:rsid w:val="6F7EA579"/>
    <w:rsid w:val="6F7F00AE"/>
    <w:rsid w:val="6F7FB0F0"/>
    <w:rsid w:val="6F7FF5B8"/>
    <w:rsid w:val="6F8557C5"/>
    <w:rsid w:val="6F868BB6"/>
    <w:rsid w:val="6F87FD91"/>
    <w:rsid w:val="6F9297D4"/>
    <w:rsid w:val="6F95F8EC"/>
    <w:rsid w:val="6F99644F"/>
    <w:rsid w:val="6F9EEC54"/>
    <w:rsid w:val="6FA31209"/>
    <w:rsid w:val="6FB66EF1"/>
    <w:rsid w:val="6FB6704B"/>
    <w:rsid w:val="6FB9802E"/>
    <w:rsid w:val="6FBB274C"/>
    <w:rsid w:val="6FBB28EC"/>
    <w:rsid w:val="6FBB376A"/>
    <w:rsid w:val="6FBBB734"/>
    <w:rsid w:val="6FBF7FA4"/>
    <w:rsid w:val="6FBF89B3"/>
    <w:rsid w:val="6FC04809"/>
    <w:rsid w:val="6FC58265"/>
    <w:rsid w:val="6FD17D84"/>
    <w:rsid w:val="6FD6DDCB"/>
    <w:rsid w:val="6FD8C26B"/>
    <w:rsid w:val="6FD9FB8C"/>
    <w:rsid w:val="6FDEBBDF"/>
    <w:rsid w:val="6FDFFCDE"/>
    <w:rsid w:val="6FE02A59"/>
    <w:rsid w:val="6FE7836E"/>
    <w:rsid w:val="6FEB84D8"/>
    <w:rsid w:val="6FEDF0C3"/>
    <w:rsid w:val="6FEECDDB"/>
    <w:rsid w:val="6FEFBD48"/>
    <w:rsid w:val="6FF06F9B"/>
    <w:rsid w:val="6FF35FB4"/>
    <w:rsid w:val="6FF566AD"/>
    <w:rsid w:val="6FF75158"/>
    <w:rsid w:val="6FF75F83"/>
    <w:rsid w:val="6FF8EB09"/>
    <w:rsid w:val="6FFC03D2"/>
    <w:rsid w:val="6FFD8A3D"/>
    <w:rsid w:val="6FFDD3EA"/>
    <w:rsid w:val="6FFDD7A1"/>
    <w:rsid w:val="6FFEBBA3"/>
    <w:rsid w:val="6FFF3342"/>
    <w:rsid w:val="6FFF98CF"/>
    <w:rsid w:val="6FFFACE2"/>
    <w:rsid w:val="6FFFC86D"/>
    <w:rsid w:val="6FFFD0B1"/>
    <w:rsid w:val="6FFFD96C"/>
    <w:rsid w:val="6FFFF6D0"/>
    <w:rsid w:val="70186294"/>
    <w:rsid w:val="70197FD4"/>
    <w:rsid w:val="701A8F07"/>
    <w:rsid w:val="702D0AE1"/>
    <w:rsid w:val="703F6C3B"/>
    <w:rsid w:val="704B4A30"/>
    <w:rsid w:val="704F668C"/>
    <w:rsid w:val="705A3A12"/>
    <w:rsid w:val="70684EAC"/>
    <w:rsid w:val="706E1379"/>
    <w:rsid w:val="707563A5"/>
    <w:rsid w:val="707A0101"/>
    <w:rsid w:val="707D36D6"/>
    <w:rsid w:val="70A53837"/>
    <w:rsid w:val="70B75D7F"/>
    <w:rsid w:val="70B932BD"/>
    <w:rsid w:val="70B9B444"/>
    <w:rsid w:val="70BBA342"/>
    <w:rsid w:val="70BF4734"/>
    <w:rsid w:val="70C36FC5"/>
    <w:rsid w:val="70CF4488"/>
    <w:rsid w:val="70D70BE6"/>
    <w:rsid w:val="70EB7EB4"/>
    <w:rsid w:val="70FE2509"/>
    <w:rsid w:val="713F3528"/>
    <w:rsid w:val="715F6265"/>
    <w:rsid w:val="71772887"/>
    <w:rsid w:val="719F1653"/>
    <w:rsid w:val="71A64788"/>
    <w:rsid w:val="71BF5D9A"/>
    <w:rsid w:val="71CD60EB"/>
    <w:rsid w:val="71CF2646"/>
    <w:rsid w:val="71E15AFA"/>
    <w:rsid w:val="71E24579"/>
    <w:rsid w:val="72043F46"/>
    <w:rsid w:val="724B0D65"/>
    <w:rsid w:val="725E1422"/>
    <w:rsid w:val="7277615F"/>
    <w:rsid w:val="727BCC4F"/>
    <w:rsid w:val="728F59B0"/>
    <w:rsid w:val="72976907"/>
    <w:rsid w:val="72BE7236"/>
    <w:rsid w:val="72C91810"/>
    <w:rsid w:val="72D72D30"/>
    <w:rsid w:val="72EDD69E"/>
    <w:rsid w:val="72F746AB"/>
    <w:rsid w:val="72FD0EE2"/>
    <w:rsid w:val="72FF7409"/>
    <w:rsid w:val="730E52D4"/>
    <w:rsid w:val="73111E83"/>
    <w:rsid w:val="731267EF"/>
    <w:rsid w:val="732A3338"/>
    <w:rsid w:val="732F6D41"/>
    <w:rsid w:val="7338386C"/>
    <w:rsid w:val="733C0072"/>
    <w:rsid w:val="734657A0"/>
    <w:rsid w:val="734F2BC2"/>
    <w:rsid w:val="73584F6A"/>
    <w:rsid w:val="735F969B"/>
    <w:rsid w:val="736B073D"/>
    <w:rsid w:val="737029B1"/>
    <w:rsid w:val="737636E0"/>
    <w:rsid w:val="737F6F41"/>
    <w:rsid w:val="737F7B4D"/>
    <w:rsid w:val="7387175A"/>
    <w:rsid w:val="73A73BD1"/>
    <w:rsid w:val="73B020E4"/>
    <w:rsid w:val="73B427DA"/>
    <w:rsid w:val="73C628EE"/>
    <w:rsid w:val="73CF3DBC"/>
    <w:rsid w:val="73CFD0E5"/>
    <w:rsid w:val="73DECC0D"/>
    <w:rsid w:val="73DF058F"/>
    <w:rsid w:val="73DF3508"/>
    <w:rsid w:val="73F6B083"/>
    <w:rsid w:val="73F6BC58"/>
    <w:rsid w:val="73F7197F"/>
    <w:rsid w:val="73FA44F0"/>
    <w:rsid w:val="73FD4290"/>
    <w:rsid w:val="73FD8CFF"/>
    <w:rsid w:val="73FDF765"/>
    <w:rsid w:val="740C4DDE"/>
    <w:rsid w:val="741D0B17"/>
    <w:rsid w:val="745843BE"/>
    <w:rsid w:val="745B68C4"/>
    <w:rsid w:val="7469627C"/>
    <w:rsid w:val="747118A7"/>
    <w:rsid w:val="747E5E0D"/>
    <w:rsid w:val="74885BE9"/>
    <w:rsid w:val="748B1B7E"/>
    <w:rsid w:val="74BA2377"/>
    <w:rsid w:val="74BF6691"/>
    <w:rsid w:val="74CEA5BA"/>
    <w:rsid w:val="74D0173D"/>
    <w:rsid w:val="74D05F68"/>
    <w:rsid w:val="74E648B4"/>
    <w:rsid w:val="74ED2F15"/>
    <w:rsid w:val="74EE4426"/>
    <w:rsid w:val="74F569E0"/>
    <w:rsid w:val="74FB59D5"/>
    <w:rsid w:val="74FBA61A"/>
    <w:rsid w:val="74FF7209"/>
    <w:rsid w:val="74FF9E7C"/>
    <w:rsid w:val="750C433D"/>
    <w:rsid w:val="751B772C"/>
    <w:rsid w:val="752B4A0A"/>
    <w:rsid w:val="7539057D"/>
    <w:rsid w:val="753DC93B"/>
    <w:rsid w:val="7559EC22"/>
    <w:rsid w:val="755FF277"/>
    <w:rsid w:val="756B6D88"/>
    <w:rsid w:val="756E042D"/>
    <w:rsid w:val="75717369"/>
    <w:rsid w:val="75792207"/>
    <w:rsid w:val="75798EA1"/>
    <w:rsid w:val="757B02FC"/>
    <w:rsid w:val="757DF9D8"/>
    <w:rsid w:val="757FB243"/>
    <w:rsid w:val="7581408D"/>
    <w:rsid w:val="75837E4B"/>
    <w:rsid w:val="7588050E"/>
    <w:rsid w:val="75ADD8A4"/>
    <w:rsid w:val="75BF14A3"/>
    <w:rsid w:val="75C55BE3"/>
    <w:rsid w:val="75C6B34D"/>
    <w:rsid w:val="75CFC2FF"/>
    <w:rsid w:val="75D95228"/>
    <w:rsid w:val="75DF6218"/>
    <w:rsid w:val="75F741BA"/>
    <w:rsid w:val="75F879D2"/>
    <w:rsid w:val="75FDD30A"/>
    <w:rsid w:val="75FF24A3"/>
    <w:rsid w:val="75FF66FB"/>
    <w:rsid w:val="75FF93FC"/>
    <w:rsid w:val="760D2319"/>
    <w:rsid w:val="761E74C2"/>
    <w:rsid w:val="762713EF"/>
    <w:rsid w:val="762E5E41"/>
    <w:rsid w:val="762EFEEB"/>
    <w:rsid w:val="76323D0E"/>
    <w:rsid w:val="763396CF"/>
    <w:rsid w:val="76391302"/>
    <w:rsid w:val="763BCDD8"/>
    <w:rsid w:val="763F6EDC"/>
    <w:rsid w:val="765E7875"/>
    <w:rsid w:val="766FF575"/>
    <w:rsid w:val="767F1A82"/>
    <w:rsid w:val="768A7016"/>
    <w:rsid w:val="768D656D"/>
    <w:rsid w:val="769CA411"/>
    <w:rsid w:val="769FBB0C"/>
    <w:rsid w:val="76B59AB2"/>
    <w:rsid w:val="76B64E79"/>
    <w:rsid w:val="76BDC468"/>
    <w:rsid w:val="76BED6F8"/>
    <w:rsid w:val="76BEEFE5"/>
    <w:rsid w:val="76BF9D5E"/>
    <w:rsid w:val="76CA3EF8"/>
    <w:rsid w:val="76CD18E8"/>
    <w:rsid w:val="76D601B1"/>
    <w:rsid w:val="76DFDBBD"/>
    <w:rsid w:val="76E4627F"/>
    <w:rsid w:val="76EAD644"/>
    <w:rsid w:val="76FB62F5"/>
    <w:rsid w:val="76FB8524"/>
    <w:rsid w:val="76FC2D26"/>
    <w:rsid w:val="76FD2FBE"/>
    <w:rsid w:val="76FF1C90"/>
    <w:rsid w:val="76FF515F"/>
    <w:rsid w:val="76FF5E6C"/>
    <w:rsid w:val="77151BFC"/>
    <w:rsid w:val="771B4A54"/>
    <w:rsid w:val="771F8F42"/>
    <w:rsid w:val="771FDFA8"/>
    <w:rsid w:val="7733A2CF"/>
    <w:rsid w:val="773BEEA2"/>
    <w:rsid w:val="774366A7"/>
    <w:rsid w:val="774651A1"/>
    <w:rsid w:val="774F912A"/>
    <w:rsid w:val="77586F89"/>
    <w:rsid w:val="775D0788"/>
    <w:rsid w:val="7762A746"/>
    <w:rsid w:val="776C9470"/>
    <w:rsid w:val="776F2738"/>
    <w:rsid w:val="776F5D88"/>
    <w:rsid w:val="777D7604"/>
    <w:rsid w:val="777EE985"/>
    <w:rsid w:val="777F0A31"/>
    <w:rsid w:val="777FD4BE"/>
    <w:rsid w:val="778626B7"/>
    <w:rsid w:val="778B95FE"/>
    <w:rsid w:val="778B9B01"/>
    <w:rsid w:val="778C0522"/>
    <w:rsid w:val="778C3B35"/>
    <w:rsid w:val="779A28CB"/>
    <w:rsid w:val="779B3204"/>
    <w:rsid w:val="779E58DA"/>
    <w:rsid w:val="779EC8E3"/>
    <w:rsid w:val="77AD9F9F"/>
    <w:rsid w:val="77AF8087"/>
    <w:rsid w:val="77B21619"/>
    <w:rsid w:val="77B57672"/>
    <w:rsid w:val="77B838C3"/>
    <w:rsid w:val="77BADAE7"/>
    <w:rsid w:val="77BB7401"/>
    <w:rsid w:val="77BCEDD7"/>
    <w:rsid w:val="77BDF8AC"/>
    <w:rsid w:val="77BF5237"/>
    <w:rsid w:val="77C1E2D4"/>
    <w:rsid w:val="77C70A92"/>
    <w:rsid w:val="77CF3604"/>
    <w:rsid w:val="77D84B39"/>
    <w:rsid w:val="77D8ECDA"/>
    <w:rsid w:val="77DB0872"/>
    <w:rsid w:val="77DD0AE6"/>
    <w:rsid w:val="77DF80F1"/>
    <w:rsid w:val="77DF9D5F"/>
    <w:rsid w:val="77E10D16"/>
    <w:rsid w:val="77E3C8C1"/>
    <w:rsid w:val="77E50EE2"/>
    <w:rsid w:val="77E5878C"/>
    <w:rsid w:val="77E78480"/>
    <w:rsid w:val="77E91B96"/>
    <w:rsid w:val="77EA11DA"/>
    <w:rsid w:val="77EAF489"/>
    <w:rsid w:val="77EB7B5D"/>
    <w:rsid w:val="77EC1AC9"/>
    <w:rsid w:val="77EE2F43"/>
    <w:rsid w:val="77EF1961"/>
    <w:rsid w:val="77EF703E"/>
    <w:rsid w:val="77EF93B6"/>
    <w:rsid w:val="77EF9A4F"/>
    <w:rsid w:val="77EFC6E8"/>
    <w:rsid w:val="77EFCA33"/>
    <w:rsid w:val="77EFD1DB"/>
    <w:rsid w:val="77F58F7B"/>
    <w:rsid w:val="77F90384"/>
    <w:rsid w:val="77F913DF"/>
    <w:rsid w:val="77FA2836"/>
    <w:rsid w:val="77FB136A"/>
    <w:rsid w:val="77FBD369"/>
    <w:rsid w:val="77FBEC38"/>
    <w:rsid w:val="77FC77AD"/>
    <w:rsid w:val="77FD3167"/>
    <w:rsid w:val="77FD7D49"/>
    <w:rsid w:val="77FDB6B6"/>
    <w:rsid w:val="77FDECA6"/>
    <w:rsid w:val="77FE216A"/>
    <w:rsid w:val="77FE21AE"/>
    <w:rsid w:val="77FEFF93"/>
    <w:rsid w:val="77FF40C7"/>
    <w:rsid w:val="77FF8D59"/>
    <w:rsid w:val="77FFBF3B"/>
    <w:rsid w:val="77FFC705"/>
    <w:rsid w:val="77FFD773"/>
    <w:rsid w:val="77FFDF5F"/>
    <w:rsid w:val="77FFEA6F"/>
    <w:rsid w:val="783B3A68"/>
    <w:rsid w:val="785F52C9"/>
    <w:rsid w:val="786B73D7"/>
    <w:rsid w:val="78716060"/>
    <w:rsid w:val="787CF73C"/>
    <w:rsid w:val="787F5FD5"/>
    <w:rsid w:val="788C6AB5"/>
    <w:rsid w:val="78AC079E"/>
    <w:rsid w:val="78B64309"/>
    <w:rsid w:val="78BC25D4"/>
    <w:rsid w:val="78ED527F"/>
    <w:rsid w:val="78EE5323"/>
    <w:rsid w:val="78F01357"/>
    <w:rsid w:val="78FAB46E"/>
    <w:rsid w:val="78FB7AC1"/>
    <w:rsid w:val="78FBF7B8"/>
    <w:rsid w:val="78FEEFF9"/>
    <w:rsid w:val="78FF8C3B"/>
    <w:rsid w:val="78FFA6D9"/>
    <w:rsid w:val="78FFDCEA"/>
    <w:rsid w:val="78FFF9E4"/>
    <w:rsid w:val="7902232A"/>
    <w:rsid w:val="791916C9"/>
    <w:rsid w:val="792625C5"/>
    <w:rsid w:val="79590E7A"/>
    <w:rsid w:val="795C6B07"/>
    <w:rsid w:val="7964645C"/>
    <w:rsid w:val="79654CCB"/>
    <w:rsid w:val="796B3B42"/>
    <w:rsid w:val="79730554"/>
    <w:rsid w:val="79766E68"/>
    <w:rsid w:val="797B2129"/>
    <w:rsid w:val="797BD851"/>
    <w:rsid w:val="797D7995"/>
    <w:rsid w:val="797F1BCA"/>
    <w:rsid w:val="79A008D9"/>
    <w:rsid w:val="79AC38A1"/>
    <w:rsid w:val="79AF8CE7"/>
    <w:rsid w:val="79B749B7"/>
    <w:rsid w:val="79DF6605"/>
    <w:rsid w:val="79E61FD9"/>
    <w:rsid w:val="79E7B9CB"/>
    <w:rsid w:val="79EA22F1"/>
    <w:rsid w:val="79EE6945"/>
    <w:rsid w:val="79EF1961"/>
    <w:rsid w:val="79EF532F"/>
    <w:rsid w:val="79F0B079"/>
    <w:rsid w:val="79F75AF8"/>
    <w:rsid w:val="79FB4AE9"/>
    <w:rsid w:val="79FF3D52"/>
    <w:rsid w:val="79FF873F"/>
    <w:rsid w:val="79FFA76F"/>
    <w:rsid w:val="79FFF632"/>
    <w:rsid w:val="7A080FC5"/>
    <w:rsid w:val="7A0B703D"/>
    <w:rsid w:val="7A200CD3"/>
    <w:rsid w:val="7A320079"/>
    <w:rsid w:val="7A41F17F"/>
    <w:rsid w:val="7A4466FC"/>
    <w:rsid w:val="7A573675"/>
    <w:rsid w:val="7A5F6045"/>
    <w:rsid w:val="7A6344B7"/>
    <w:rsid w:val="7A636E92"/>
    <w:rsid w:val="7A68639D"/>
    <w:rsid w:val="7A6FD6AD"/>
    <w:rsid w:val="7A72953D"/>
    <w:rsid w:val="7A7511ED"/>
    <w:rsid w:val="7A753E9B"/>
    <w:rsid w:val="7A7870AE"/>
    <w:rsid w:val="7A7D5F43"/>
    <w:rsid w:val="7A9E1A51"/>
    <w:rsid w:val="7AA74F54"/>
    <w:rsid w:val="7AC718A6"/>
    <w:rsid w:val="7ACC740A"/>
    <w:rsid w:val="7ADF2F49"/>
    <w:rsid w:val="7ADF42C4"/>
    <w:rsid w:val="7ADF4755"/>
    <w:rsid w:val="7AE3CEA0"/>
    <w:rsid w:val="7AE962C0"/>
    <w:rsid w:val="7AEF5A21"/>
    <w:rsid w:val="7AF3E97E"/>
    <w:rsid w:val="7AF75A95"/>
    <w:rsid w:val="7AFD663C"/>
    <w:rsid w:val="7AFE2372"/>
    <w:rsid w:val="7AFEDD02"/>
    <w:rsid w:val="7AFFE15B"/>
    <w:rsid w:val="7B1F58E9"/>
    <w:rsid w:val="7B2F175D"/>
    <w:rsid w:val="7B36536A"/>
    <w:rsid w:val="7B3F4AD3"/>
    <w:rsid w:val="7B6BC758"/>
    <w:rsid w:val="7B7739D4"/>
    <w:rsid w:val="7B779FCD"/>
    <w:rsid w:val="7B77D31C"/>
    <w:rsid w:val="7B7A8017"/>
    <w:rsid w:val="7B7E1B65"/>
    <w:rsid w:val="7B7E1CE7"/>
    <w:rsid w:val="7B7FE759"/>
    <w:rsid w:val="7B7FEE2D"/>
    <w:rsid w:val="7B8F5B7B"/>
    <w:rsid w:val="7B9F3B99"/>
    <w:rsid w:val="7B9F4CA9"/>
    <w:rsid w:val="7B9F6948"/>
    <w:rsid w:val="7BAEF09E"/>
    <w:rsid w:val="7BB041F9"/>
    <w:rsid w:val="7BBAD549"/>
    <w:rsid w:val="7BBD6C13"/>
    <w:rsid w:val="7BBEB7C8"/>
    <w:rsid w:val="7BBEFE3A"/>
    <w:rsid w:val="7BBFC796"/>
    <w:rsid w:val="7BC77EA6"/>
    <w:rsid w:val="7BCF2095"/>
    <w:rsid w:val="7BD1C7B9"/>
    <w:rsid w:val="7BD5701E"/>
    <w:rsid w:val="7BD726FC"/>
    <w:rsid w:val="7BDB4B70"/>
    <w:rsid w:val="7BDBA764"/>
    <w:rsid w:val="7BDBB9F4"/>
    <w:rsid w:val="7BDD6427"/>
    <w:rsid w:val="7BDDEAFC"/>
    <w:rsid w:val="7BDDFCB5"/>
    <w:rsid w:val="7BDF4313"/>
    <w:rsid w:val="7BE2889D"/>
    <w:rsid w:val="7BE372AA"/>
    <w:rsid w:val="7BE56B42"/>
    <w:rsid w:val="7BE62501"/>
    <w:rsid w:val="7BE70452"/>
    <w:rsid w:val="7BEE0E86"/>
    <w:rsid w:val="7BEE873C"/>
    <w:rsid w:val="7BEF38A0"/>
    <w:rsid w:val="7BEF9744"/>
    <w:rsid w:val="7BEFB3DF"/>
    <w:rsid w:val="7BEFD95A"/>
    <w:rsid w:val="7BEFEB59"/>
    <w:rsid w:val="7BF1448E"/>
    <w:rsid w:val="7BF233EB"/>
    <w:rsid w:val="7BF4A0FA"/>
    <w:rsid w:val="7BF57A9D"/>
    <w:rsid w:val="7BF5ABBE"/>
    <w:rsid w:val="7BF5C43A"/>
    <w:rsid w:val="7BF5D039"/>
    <w:rsid w:val="7BF6F7C4"/>
    <w:rsid w:val="7BF763D3"/>
    <w:rsid w:val="7BF96E85"/>
    <w:rsid w:val="7BFB5B5E"/>
    <w:rsid w:val="7BFBB549"/>
    <w:rsid w:val="7BFD9FD0"/>
    <w:rsid w:val="7BFDD6F6"/>
    <w:rsid w:val="7BFE6F53"/>
    <w:rsid w:val="7BFE9AD1"/>
    <w:rsid w:val="7BFEDC5B"/>
    <w:rsid w:val="7BFEE026"/>
    <w:rsid w:val="7BFF5918"/>
    <w:rsid w:val="7BFF7D49"/>
    <w:rsid w:val="7BFFABBC"/>
    <w:rsid w:val="7BFFCE0E"/>
    <w:rsid w:val="7BFFDCEA"/>
    <w:rsid w:val="7BFFE4FD"/>
    <w:rsid w:val="7C01088C"/>
    <w:rsid w:val="7C386B82"/>
    <w:rsid w:val="7C5975C1"/>
    <w:rsid w:val="7C5B2FBA"/>
    <w:rsid w:val="7C5F3B5E"/>
    <w:rsid w:val="7C6D8E58"/>
    <w:rsid w:val="7C7B472C"/>
    <w:rsid w:val="7C7BE87B"/>
    <w:rsid w:val="7C7E6CDB"/>
    <w:rsid w:val="7C7F02C2"/>
    <w:rsid w:val="7C8534AC"/>
    <w:rsid w:val="7C8E28B7"/>
    <w:rsid w:val="7C9F6868"/>
    <w:rsid w:val="7C9FC629"/>
    <w:rsid w:val="7CA72D5A"/>
    <w:rsid w:val="7CB709C7"/>
    <w:rsid w:val="7CB73274"/>
    <w:rsid w:val="7CBCCD51"/>
    <w:rsid w:val="7CBF8ABA"/>
    <w:rsid w:val="7CC36AE8"/>
    <w:rsid w:val="7CD2EB3C"/>
    <w:rsid w:val="7CE37871"/>
    <w:rsid w:val="7CE9A5A0"/>
    <w:rsid w:val="7CF3C8C2"/>
    <w:rsid w:val="7CFCC4DA"/>
    <w:rsid w:val="7CFF6E88"/>
    <w:rsid w:val="7CFF8188"/>
    <w:rsid w:val="7CFFE70C"/>
    <w:rsid w:val="7D0C4A36"/>
    <w:rsid w:val="7D0F0A95"/>
    <w:rsid w:val="7D1F441E"/>
    <w:rsid w:val="7D257D4B"/>
    <w:rsid w:val="7D372E04"/>
    <w:rsid w:val="7D3B6D18"/>
    <w:rsid w:val="7D3D6ACD"/>
    <w:rsid w:val="7D3D702E"/>
    <w:rsid w:val="7D470F6C"/>
    <w:rsid w:val="7D502D21"/>
    <w:rsid w:val="7D5A9542"/>
    <w:rsid w:val="7D686A72"/>
    <w:rsid w:val="7D6F4237"/>
    <w:rsid w:val="7D704DE7"/>
    <w:rsid w:val="7D725D0F"/>
    <w:rsid w:val="7D773A5F"/>
    <w:rsid w:val="7D7A7958"/>
    <w:rsid w:val="7D7F5291"/>
    <w:rsid w:val="7D7FD055"/>
    <w:rsid w:val="7D7FE1EF"/>
    <w:rsid w:val="7D822794"/>
    <w:rsid w:val="7D8650EE"/>
    <w:rsid w:val="7D8934B1"/>
    <w:rsid w:val="7D9224FC"/>
    <w:rsid w:val="7D93023D"/>
    <w:rsid w:val="7D9D001F"/>
    <w:rsid w:val="7D9F4D1A"/>
    <w:rsid w:val="7DAD5F19"/>
    <w:rsid w:val="7DAD86B8"/>
    <w:rsid w:val="7DAD894E"/>
    <w:rsid w:val="7DB73694"/>
    <w:rsid w:val="7DB7A691"/>
    <w:rsid w:val="7DBB2FCA"/>
    <w:rsid w:val="7DBD1ABF"/>
    <w:rsid w:val="7DBE8A3A"/>
    <w:rsid w:val="7DBF2A9D"/>
    <w:rsid w:val="7DBF8940"/>
    <w:rsid w:val="7DBF9122"/>
    <w:rsid w:val="7DBFAF93"/>
    <w:rsid w:val="7DBFCCB5"/>
    <w:rsid w:val="7DC7480B"/>
    <w:rsid w:val="7DCB2A6F"/>
    <w:rsid w:val="7DCD9795"/>
    <w:rsid w:val="7DCFDA28"/>
    <w:rsid w:val="7DCFE9C7"/>
    <w:rsid w:val="7DD30B9A"/>
    <w:rsid w:val="7DD68C0D"/>
    <w:rsid w:val="7DD75189"/>
    <w:rsid w:val="7DD87DEE"/>
    <w:rsid w:val="7DD98AA6"/>
    <w:rsid w:val="7DDD0EA2"/>
    <w:rsid w:val="7DDE2960"/>
    <w:rsid w:val="7DDF16B3"/>
    <w:rsid w:val="7DDF7AF9"/>
    <w:rsid w:val="7DE1C3A4"/>
    <w:rsid w:val="7DE93509"/>
    <w:rsid w:val="7DEB3BA1"/>
    <w:rsid w:val="7DEC28DF"/>
    <w:rsid w:val="7DEDA74D"/>
    <w:rsid w:val="7DEE64EB"/>
    <w:rsid w:val="7DEFFCBD"/>
    <w:rsid w:val="7DF3794B"/>
    <w:rsid w:val="7DF5862B"/>
    <w:rsid w:val="7DF5A0A1"/>
    <w:rsid w:val="7DF74920"/>
    <w:rsid w:val="7DF76B7E"/>
    <w:rsid w:val="7DF7FFCE"/>
    <w:rsid w:val="7DF97466"/>
    <w:rsid w:val="7DFD04B2"/>
    <w:rsid w:val="7DFE061E"/>
    <w:rsid w:val="7DFF6D31"/>
    <w:rsid w:val="7DFF9088"/>
    <w:rsid w:val="7DFFA6F9"/>
    <w:rsid w:val="7DFFBB5A"/>
    <w:rsid w:val="7E03733E"/>
    <w:rsid w:val="7E18246B"/>
    <w:rsid w:val="7E233307"/>
    <w:rsid w:val="7E319DB2"/>
    <w:rsid w:val="7E331B3A"/>
    <w:rsid w:val="7E391CC6"/>
    <w:rsid w:val="7E3ABB96"/>
    <w:rsid w:val="7E3B493B"/>
    <w:rsid w:val="7E4F6016"/>
    <w:rsid w:val="7E4F72BE"/>
    <w:rsid w:val="7E55A7A4"/>
    <w:rsid w:val="7E564C7E"/>
    <w:rsid w:val="7E591020"/>
    <w:rsid w:val="7E601A04"/>
    <w:rsid w:val="7E6FE830"/>
    <w:rsid w:val="7E7F4722"/>
    <w:rsid w:val="7E7FC82E"/>
    <w:rsid w:val="7E8C7F45"/>
    <w:rsid w:val="7E9101AC"/>
    <w:rsid w:val="7E977A43"/>
    <w:rsid w:val="7E9A4905"/>
    <w:rsid w:val="7EA70B2B"/>
    <w:rsid w:val="7EAA2CD7"/>
    <w:rsid w:val="7EAB5849"/>
    <w:rsid w:val="7EB3E3DD"/>
    <w:rsid w:val="7EB3FFA1"/>
    <w:rsid w:val="7EB75AE8"/>
    <w:rsid w:val="7EB770E6"/>
    <w:rsid w:val="7EB78B57"/>
    <w:rsid w:val="7EBF2B16"/>
    <w:rsid w:val="7EBF5D3C"/>
    <w:rsid w:val="7EBF9AC5"/>
    <w:rsid w:val="7ECA63B0"/>
    <w:rsid w:val="7ECB931B"/>
    <w:rsid w:val="7ECD436F"/>
    <w:rsid w:val="7EDBD11C"/>
    <w:rsid w:val="7EDE8B02"/>
    <w:rsid w:val="7EDF432A"/>
    <w:rsid w:val="7EDFA7C9"/>
    <w:rsid w:val="7EE26CB9"/>
    <w:rsid w:val="7EE38FB0"/>
    <w:rsid w:val="7EE7EA56"/>
    <w:rsid w:val="7EEB4768"/>
    <w:rsid w:val="7EEEF57D"/>
    <w:rsid w:val="7EEF3969"/>
    <w:rsid w:val="7EEFB9CE"/>
    <w:rsid w:val="7EEFFB35"/>
    <w:rsid w:val="7EF1CE4A"/>
    <w:rsid w:val="7EF509FA"/>
    <w:rsid w:val="7EF54771"/>
    <w:rsid w:val="7EF6055F"/>
    <w:rsid w:val="7EF701C1"/>
    <w:rsid w:val="7EF7AC44"/>
    <w:rsid w:val="7EF7EDDC"/>
    <w:rsid w:val="7EFA326E"/>
    <w:rsid w:val="7EFAE7A0"/>
    <w:rsid w:val="7EFB2104"/>
    <w:rsid w:val="7EFCEC00"/>
    <w:rsid w:val="7EFD02FF"/>
    <w:rsid w:val="7EFDBF7E"/>
    <w:rsid w:val="7EFDC89D"/>
    <w:rsid w:val="7EFDED7C"/>
    <w:rsid w:val="7EFDF3A7"/>
    <w:rsid w:val="7EFE6176"/>
    <w:rsid w:val="7EFEF43E"/>
    <w:rsid w:val="7EFF44F5"/>
    <w:rsid w:val="7EFF529B"/>
    <w:rsid w:val="7EFFCB0F"/>
    <w:rsid w:val="7EFFF039"/>
    <w:rsid w:val="7F1911F7"/>
    <w:rsid w:val="7F283994"/>
    <w:rsid w:val="7F2FF98A"/>
    <w:rsid w:val="7F3347F7"/>
    <w:rsid w:val="7F3739A2"/>
    <w:rsid w:val="7F37FF81"/>
    <w:rsid w:val="7F39161F"/>
    <w:rsid w:val="7F3A6FE8"/>
    <w:rsid w:val="7F3CC658"/>
    <w:rsid w:val="7F3ED535"/>
    <w:rsid w:val="7F3F0850"/>
    <w:rsid w:val="7F3F681D"/>
    <w:rsid w:val="7F3FDBAE"/>
    <w:rsid w:val="7F4B3EA8"/>
    <w:rsid w:val="7F4D1404"/>
    <w:rsid w:val="7F4D3C6C"/>
    <w:rsid w:val="7F4F26E7"/>
    <w:rsid w:val="7F524530"/>
    <w:rsid w:val="7F557B42"/>
    <w:rsid w:val="7F578A34"/>
    <w:rsid w:val="7F5A85F2"/>
    <w:rsid w:val="7F5BC742"/>
    <w:rsid w:val="7F5F5BE3"/>
    <w:rsid w:val="7F5F87DB"/>
    <w:rsid w:val="7F6109A0"/>
    <w:rsid w:val="7F625732"/>
    <w:rsid w:val="7F65E361"/>
    <w:rsid w:val="7F6BD8D0"/>
    <w:rsid w:val="7F6BF4BB"/>
    <w:rsid w:val="7F6DB607"/>
    <w:rsid w:val="7F6DFB34"/>
    <w:rsid w:val="7F6F09DC"/>
    <w:rsid w:val="7F6FC0A0"/>
    <w:rsid w:val="7F6FDB0A"/>
    <w:rsid w:val="7F721D5D"/>
    <w:rsid w:val="7F748A4A"/>
    <w:rsid w:val="7F754B65"/>
    <w:rsid w:val="7F75AEEC"/>
    <w:rsid w:val="7F75C57D"/>
    <w:rsid w:val="7F75D510"/>
    <w:rsid w:val="7F7737B3"/>
    <w:rsid w:val="7F778FE5"/>
    <w:rsid w:val="7F7A00AE"/>
    <w:rsid w:val="7F7A36A5"/>
    <w:rsid w:val="7F7BE807"/>
    <w:rsid w:val="7F7C7A19"/>
    <w:rsid w:val="7F7C9586"/>
    <w:rsid w:val="7F7CBD0C"/>
    <w:rsid w:val="7F7D4577"/>
    <w:rsid w:val="7F7D4E6C"/>
    <w:rsid w:val="7F7D8758"/>
    <w:rsid w:val="7F7DE268"/>
    <w:rsid w:val="7F7DE84A"/>
    <w:rsid w:val="7F7E3D96"/>
    <w:rsid w:val="7F7F080A"/>
    <w:rsid w:val="7F7F13D5"/>
    <w:rsid w:val="7F7F3E13"/>
    <w:rsid w:val="7F7F4C94"/>
    <w:rsid w:val="7F7F8A56"/>
    <w:rsid w:val="7F7F9242"/>
    <w:rsid w:val="7F7FA932"/>
    <w:rsid w:val="7F7FB99D"/>
    <w:rsid w:val="7F8BB586"/>
    <w:rsid w:val="7F8F2E98"/>
    <w:rsid w:val="7F8FAB9D"/>
    <w:rsid w:val="7F90265D"/>
    <w:rsid w:val="7F95A157"/>
    <w:rsid w:val="7F9B68AB"/>
    <w:rsid w:val="7F9BABCB"/>
    <w:rsid w:val="7F9D3A45"/>
    <w:rsid w:val="7F9FB0F8"/>
    <w:rsid w:val="7F9FEE09"/>
    <w:rsid w:val="7F9FF364"/>
    <w:rsid w:val="7FA6370F"/>
    <w:rsid w:val="7FA938C1"/>
    <w:rsid w:val="7FAB38C6"/>
    <w:rsid w:val="7FAC56E1"/>
    <w:rsid w:val="7FAF01D7"/>
    <w:rsid w:val="7FAF09C5"/>
    <w:rsid w:val="7FAF0FAD"/>
    <w:rsid w:val="7FAF1193"/>
    <w:rsid w:val="7FAF61FC"/>
    <w:rsid w:val="7FAFE20D"/>
    <w:rsid w:val="7FB38B54"/>
    <w:rsid w:val="7FB6AB53"/>
    <w:rsid w:val="7FB6C2AA"/>
    <w:rsid w:val="7FB751BC"/>
    <w:rsid w:val="7FB91DC6"/>
    <w:rsid w:val="7FBAB364"/>
    <w:rsid w:val="7FBAFA81"/>
    <w:rsid w:val="7FBAFEE7"/>
    <w:rsid w:val="7FBB4188"/>
    <w:rsid w:val="7FBCC42E"/>
    <w:rsid w:val="7FBD9AA0"/>
    <w:rsid w:val="7FBE5FF8"/>
    <w:rsid w:val="7FBE7912"/>
    <w:rsid w:val="7FBEA335"/>
    <w:rsid w:val="7FBED7D9"/>
    <w:rsid w:val="7FBEF751"/>
    <w:rsid w:val="7FBF1401"/>
    <w:rsid w:val="7FBF3D95"/>
    <w:rsid w:val="7FBF4BA8"/>
    <w:rsid w:val="7FBF583C"/>
    <w:rsid w:val="7FBF9DF1"/>
    <w:rsid w:val="7FBFB7C0"/>
    <w:rsid w:val="7FBFD171"/>
    <w:rsid w:val="7FC10F22"/>
    <w:rsid w:val="7FC1FE82"/>
    <w:rsid w:val="7FCDD226"/>
    <w:rsid w:val="7FCEBF97"/>
    <w:rsid w:val="7FCEDA64"/>
    <w:rsid w:val="7FCF4244"/>
    <w:rsid w:val="7FCF7549"/>
    <w:rsid w:val="7FCF8304"/>
    <w:rsid w:val="7FD2DE0A"/>
    <w:rsid w:val="7FD332AE"/>
    <w:rsid w:val="7FD567F4"/>
    <w:rsid w:val="7FD73B74"/>
    <w:rsid w:val="7FD74EFB"/>
    <w:rsid w:val="7FD77EDF"/>
    <w:rsid w:val="7FD7BDE3"/>
    <w:rsid w:val="7FDB5F1E"/>
    <w:rsid w:val="7FDB7334"/>
    <w:rsid w:val="7FDDE0D6"/>
    <w:rsid w:val="7FDDF085"/>
    <w:rsid w:val="7FDEF5FC"/>
    <w:rsid w:val="7FDF047D"/>
    <w:rsid w:val="7FDF1D39"/>
    <w:rsid w:val="7FDF38F1"/>
    <w:rsid w:val="7FDF4F70"/>
    <w:rsid w:val="7FDF98BF"/>
    <w:rsid w:val="7FDFB919"/>
    <w:rsid w:val="7FDFC3AD"/>
    <w:rsid w:val="7FDFE179"/>
    <w:rsid w:val="7FDFFA0A"/>
    <w:rsid w:val="7FE06889"/>
    <w:rsid w:val="7FE6B3A6"/>
    <w:rsid w:val="7FE784E3"/>
    <w:rsid w:val="7FE883B5"/>
    <w:rsid w:val="7FEAF7BA"/>
    <w:rsid w:val="7FEF0281"/>
    <w:rsid w:val="7FEF2281"/>
    <w:rsid w:val="7FEF679A"/>
    <w:rsid w:val="7FEF6B8E"/>
    <w:rsid w:val="7FEF861A"/>
    <w:rsid w:val="7FEF9A67"/>
    <w:rsid w:val="7FEFCB5E"/>
    <w:rsid w:val="7FEFCDBA"/>
    <w:rsid w:val="7FF19EAF"/>
    <w:rsid w:val="7FF1BFBA"/>
    <w:rsid w:val="7FF1D8E3"/>
    <w:rsid w:val="7FF34BE9"/>
    <w:rsid w:val="7FF3E9E7"/>
    <w:rsid w:val="7FF453A5"/>
    <w:rsid w:val="7FF5B75B"/>
    <w:rsid w:val="7FF64C5C"/>
    <w:rsid w:val="7FF72996"/>
    <w:rsid w:val="7FF7348F"/>
    <w:rsid w:val="7FF7807C"/>
    <w:rsid w:val="7FF7C961"/>
    <w:rsid w:val="7FF7D0B9"/>
    <w:rsid w:val="7FF7E3D2"/>
    <w:rsid w:val="7FF85160"/>
    <w:rsid w:val="7FF93AA9"/>
    <w:rsid w:val="7FF9683F"/>
    <w:rsid w:val="7FF9FBB3"/>
    <w:rsid w:val="7FFA6E8E"/>
    <w:rsid w:val="7FFA898C"/>
    <w:rsid w:val="7FFAC591"/>
    <w:rsid w:val="7FFB7F92"/>
    <w:rsid w:val="7FFC01B6"/>
    <w:rsid w:val="7FFC7510"/>
    <w:rsid w:val="7FFCD46C"/>
    <w:rsid w:val="7FFD028F"/>
    <w:rsid w:val="7FFD38B9"/>
    <w:rsid w:val="7FFD4260"/>
    <w:rsid w:val="7FFD4273"/>
    <w:rsid w:val="7FFDB141"/>
    <w:rsid w:val="7FFDD83E"/>
    <w:rsid w:val="7FFE47EA"/>
    <w:rsid w:val="7FFE5D4A"/>
    <w:rsid w:val="7FFE64CA"/>
    <w:rsid w:val="7FFEAEB5"/>
    <w:rsid w:val="7FFEBAE6"/>
    <w:rsid w:val="7FFEFF7C"/>
    <w:rsid w:val="7FFF1F43"/>
    <w:rsid w:val="7FFF2563"/>
    <w:rsid w:val="7FFF29CB"/>
    <w:rsid w:val="7FFF2AF0"/>
    <w:rsid w:val="7FFF3249"/>
    <w:rsid w:val="7FFF689B"/>
    <w:rsid w:val="7FFF6B24"/>
    <w:rsid w:val="7FFF6C30"/>
    <w:rsid w:val="7FFF8071"/>
    <w:rsid w:val="7FFF9863"/>
    <w:rsid w:val="7FFF9C53"/>
    <w:rsid w:val="7FFFCBE4"/>
    <w:rsid w:val="7FFFD736"/>
    <w:rsid w:val="7FFFEC99"/>
    <w:rsid w:val="83534639"/>
    <w:rsid w:val="85DC2548"/>
    <w:rsid w:val="85FC76A7"/>
    <w:rsid w:val="87CF1552"/>
    <w:rsid w:val="87EF3526"/>
    <w:rsid w:val="87F7B840"/>
    <w:rsid w:val="87F7E2AA"/>
    <w:rsid w:val="89FF6836"/>
    <w:rsid w:val="8A1B79F1"/>
    <w:rsid w:val="8AFF25AF"/>
    <w:rsid w:val="8BDF2021"/>
    <w:rsid w:val="8CF4BD34"/>
    <w:rsid w:val="8DF79E85"/>
    <w:rsid w:val="8DFFC205"/>
    <w:rsid w:val="8ECF3719"/>
    <w:rsid w:val="8EFF26A6"/>
    <w:rsid w:val="8EFF6BAD"/>
    <w:rsid w:val="8F7578CF"/>
    <w:rsid w:val="8F7E56C2"/>
    <w:rsid w:val="8FB50660"/>
    <w:rsid w:val="8FDF138F"/>
    <w:rsid w:val="8FEBA80A"/>
    <w:rsid w:val="8FFF7734"/>
    <w:rsid w:val="8FFFA810"/>
    <w:rsid w:val="9161572A"/>
    <w:rsid w:val="93DD3F51"/>
    <w:rsid w:val="93DF73B4"/>
    <w:rsid w:val="93E51A81"/>
    <w:rsid w:val="93EFBE2D"/>
    <w:rsid w:val="958BE5C5"/>
    <w:rsid w:val="95CFC6CE"/>
    <w:rsid w:val="95FD18C6"/>
    <w:rsid w:val="96695F49"/>
    <w:rsid w:val="975A63D8"/>
    <w:rsid w:val="97BB7BC8"/>
    <w:rsid w:val="97C72804"/>
    <w:rsid w:val="97CF59F2"/>
    <w:rsid w:val="97D7B0DF"/>
    <w:rsid w:val="97D7B5EA"/>
    <w:rsid w:val="97DB7351"/>
    <w:rsid w:val="97DEB776"/>
    <w:rsid w:val="97E38D03"/>
    <w:rsid w:val="97F3EE19"/>
    <w:rsid w:val="97F64A99"/>
    <w:rsid w:val="97FED89C"/>
    <w:rsid w:val="98E61B29"/>
    <w:rsid w:val="99FBBCF7"/>
    <w:rsid w:val="99FF9EF4"/>
    <w:rsid w:val="9ADDB16D"/>
    <w:rsid w:val="9AFE8D45"/>
    <w:rsid w:val="9B358DB0"/>
    <w:rsid w:val="9B76CC89"/>
    <w:rsid w:val="9B9B21F9"/>
    <w:rsid w:val="9B9B9EDB"/>
    <w:rsid w:val="9BAB708D"/>
    <w:rsid w:val="9BBE1042"/>
    <w:rsid w:val="9BEF368C"/>
    <w:rsid w:val="9BF72AD3"/>
    <w:rsid w:val="9BFE89E6"/>
    <w:rsid w:val="9CB2A76A"/>
    <w:rsid w:val="9CBF4552"/>
    <w:rsid w:val="9CD655EB"/>
    <w:rsid w:val="9CED7C32"/>
    <w:rsid w:val="9CF8B433"/>
    <w:rsid w:val="9D2E6348"/>
    <w:rsid w:val="9D373581"/>
    <w:rsid w:val="9D3B6E74"/>
    <w:rsid w:val="9DE63AEF"/>
    <w:rsid w:val="9DFCE0D1"/>
    <w:rsid w:val="9E731CC3"/>
    <w:rsid w:val="9E77E036"/>
    <w:rsid w:val="9EA9073E"/>
    <w:rsid w:val="9EDE29E8"/>
    <w:rsid w:val="9EEB4229"/>
    <w:rsid w:val="9EF60527"/>
    <w:rsid w:val="9EFE0156"/>
    <w:rsid w:val="9EFE1C8B"/>
    <w:rsid w:val="9F27B54E"/>
    <w:rsid w:val="9F2F9169"/>
    <w:rsid w:val="9F5BD71A"/>
    <w:rsid w:val="9F5D3661"/>
    <w:rsid w:val="9F66645E"/>
    <w:rsid w:val="9F6EB7E1"/>
    <w:rsid w:val="9F9E95B3"/>
    <w:rsid w:val="9FB54BFE"/>
    <w:rsid w:val="9FBF63EB"/>
    <w:rsid w:val="9FCB6B12"/>
    <w:rsid w:val="9FD3E8CF"/>
    <w:rsid w:val="9FDA8576"/>
    <w:rsid w:val="9FDB6E49"/>
    <w:rsid w:val="9FDBEFB6"/>
    <w:rsid w:val="9FDF0E8D"/>
    <w:rsid w:val="9FEA95FB"/>
    <w:rsid w:val="9FEAECE4"/>
    <w:rsid w:val="9FECC32B"/>
    <w:rsid w:val="9FF799D9"/>
    <w:rsid w:val="9FFB1FED"/>
    <w:rsid w:val="9FFBE0C4"/>
    <w:rsid w:val="9FFDCCCB"/>
    <w:rsid w:val="9FFFCF43"/>
    <w:rsid w:val="A1DBD78D"/>
    <w:rsid w:val="A2BFCD60"/>
    <w:rsid w:val="A2EBE618"/>
    <w:rsid w:val="A2F96E25"/>
    <w:rsid w:val="A3757544"/>
    <w:rsid w:val="A37D2DFA"/>
    <w:rsid w:val="A38D5382"/>
    <w:rsid w:val="A39FC5E6"/>
    <w:rsid w:val="A3FF339E"/>
    <w:rsid w:val="A43F663D"/>
    <w:rsid w:val="A56A8D75"/>
    <w:rsid w:val="A5FA1FE3"/>
    <w:rsid w:val="A5FD7314"/>
    <w:rsid w:val="A6EB8ECD"/>
    <w:rsid w:val="A6F2EB53"/>
    <w:rsid w:val="A6FFC087"/>
    <w:rsid w:val="A75F1069"/>
    <w:rsid w:val="A773067B"/>
    <w:rsid w:val="A7EBCE80"/>
    <w:rsid w:val="A9373578"/>
    <w:rsid w:val="A97FC3E9"/>
    <w:rsid w:val="A9A6C5BE"/>
    <w:rsid w:val="A9FFD6E6"/>
    <w:rsid w:val="AA45D473"/>
    <w:rsid w:val="AAEE8572"/>
    <w:rsid w:val="AB1E7BDB"/>
    <w:rsid w:val="AB3F12FF"/>
    <w:rsid w:val="AB5AF14F"/>
    <w:rsid w:val="AB6EEF46"/>
    <w:rsid w:val="AB7EE36C"/>
    <w:rsid w:val="ABABC9C9"/>
    <w:rsid w:val="ABC59816"/>
    <w:rsid w:val="ABD738D2"/>
    <w:rsid w:val="ABF55C9A"/>
    <w:rsid w:val="ABFBBA0D"/>
    <w:rsid w:val="ABFECFE3"/>
    <w:rsid w:val="AC79956A"/>
    <w:rsid w:val="AD2A075A"/>
    <w:rsid w:val="AD6F847A"/>
    <w:rsid w:val="ADEE4F51"/>
    <w:rsid w:val="ADF53C9F"/>
    <w:rsid w:val="ADF9AADC"/>
    <w:rsid w:val="ADFCBCF6"/>
    <w:rsid w:val="AE3FD296"/>
    <w:rsid w:val="AEED1B4A"/>
    <w:rsid w:val="AEF75136"/>
    <w:rsid w:val="AEF78A38"/>
    <w:rsid w:val="AEFCA4C2"/>
    <w:rsid w:val="AEFFC7EB"/>
    <w:rsid w:val="AF1AF4A0"/>
    <w:rsid w:val="AF3FDA6D"/>
    <w:rsid w:val="AF4D3F12"/>
    <w:rsid w:val="AF534F98"/>
    <w:rsid w:val="AF5FACB2"/>
    <w:rsid w:val="AF6E7F11"/>
    <w:rsid w:val="AF79DDD8"/>
    <w:rsid w:val="AFAAEF17"/>
    <w:rsid w:val="AFBD0CCB"/>
    <w:rsid w:val="AFBFCB60"/>
    <w:rsid w:val="AFD5177A"/>
    <w:rsid w:val="AFDCDAF4"/>
    <w:rsid w:val="AFDE388A"/>
    <w:rsid w:val="AFF51D8C"/>
    <w:rsid w:val="AFF628C4"/>
    <w:rsid w:val="AFF7AFE3"/>
    <w:rsid w:val="AFF9A6F7"/>
    <w:rsid w:val="AFFD8D77"/>
    <w:rsid w:val="AFFF2817"/>
    <w:rsid w:val="AFFF2B9D"/>
    <w:rsid w:val="AFFF42B8"/>
    <w:rsid w:val="AFFF4CB5"/>
    <w:rsid w:val="B1D7EBB5"/>
    <w:rsid w:val="B1FD317E"/>
    <w:rsid w:val="B1FFD7C0"/>
    <w:rsid w:val="B2BBBD40"/>
    <w:rsid w:val="B2DE84BA"/>
    <w:rsid w:val="B2DFF317"/>
    <w:rsid w:val="B2FEEB23"/>
    <w:rsid w:val="B3796E85"/>
    <w:rsid w:val="B38FDF97"/>
    <w:rsid w:val="B3B9B957"/>
    <w:rsid w:val="B3BAFB77"/>
    <w:rsid w:val="B3BB190B"/>
    <w:rsid w:val="B3DDB957"/>
    <w:rsid w:val="B3EC6A7A"/>
    <w:rsid w:val="B3EE3806"/>
    <w:rsid w:val="B3F705DB"/>
    <w:rsid w:val="B3F98DF5"/>
    <w:rsid w:val="B3FAB054"/>
    <w:rsid w:val="B3FD91C2"/>
    <w:rsid w:val="B3FE9C71"/>
    <w:rsid w:val="B4C80253"/>
    <w:rsid w:val="B51E1588"/>
    <w:rsid w:val="B53EFA23"/>
    <w:rsid w:val="B56C6E4E"/>
    <w:rsid w:val="B57F4E71"/>
    <w:rsid w:val="B57F52C2"/>
    <w:rsid w:val="B59D9E3B"/>
    <w:rsid w:val="B59E8C80"/>
    <w:rsid w:val="B59EDC16"/>
    <w:rsid w:val="B5D6B38C"/>
    <w:rsid w:val="B5EE8329"/>
    <w:rsid w:val="B5F706BE"/>
    <w:rsid w:val="B5F7E4FF"/>
    <w:rsid w:val="B5FCC583"/>
    <w:rsid w:val="B5FE2A35"/>
    <w:rsid w:val="B67B523B"/>
    <w:rsid w:val="B67FCBEF"/>
    <w:rsid w:val="B6AF3144"/>
    <w:rsid w:val="B6BB1ED2"/>
    <w:rsid w:val="B6BE6B02"/>
    <w:rsid w:val="B6C8A642"/>
    <w:rsid w:val="B6E52406"/>
    <w:rsid w:val="B6E7A2B1"/>
    <w:rsid w:val="B6EF1B60"/>
    <w:rsid w:val="B6F4418C"/>
    <w:rsid w:val="B6F49BF8"/>
    <w:rsid w:val="B6F73DF5"/>
    <w:rsid w:val="B6FD3BB8"/>
    <w:rsid w:val="B6FFD117"/>
    <w:rsid w:val="B73EAF30"/>
    <w:rsid w:val="B73F675E"/>
    <w:rsid w:val="B77FFD8B"/>
    <w:rsid w:val="B78E3CD2"/>
    <w:rsid w:val="B798C4F5"/>
    <w:rsid w:val="B79C84A9"/>
    <w:rsid w:val="B7BC94D5"/>
    <w:rsid w:val="B7C73812"/>
    <w:rsid w:val="B7CE8A2D"/>
    <w:rsid w:val="B7D6ECBC"/>
    <w:rsid w:val="B7D7F520"/>
    <w:rsid w:val="B7E66B5E"/>
    <w:rsid w:val="B7EF9FF3"/>
    <w:rsid w:val="B7FC7D8D"/>
    <w:rsid w:val="B7FF20CB"/>
    <w:rsid w:val="B7FFC49A"/>
    <w:rsid w:val="B7FFEC5B"/>
    <w:rsid w:val="B8ED4C4C"/>
    <w:rsid w:val="B92E8E61"/>
    <w:rsid w:val="B95BAE94"/>
    <w:rsid w:val="B95D9181"/>
    <w:rsid w:val="B97FB8F0"/>
    <w:rsid w:val="B9B778CE"/>
    <w:rsid w:val="B9DFD2E6"/>
    <w:rsid w:val="B9EA4184"/>
    <w:rsid w:val="B9F7105A"/>
    <w:rsid w:val="B9FB9B25"/>
    <w:rsid w:val="B9FF5E27"/>
    <w:rsid w:val="BAE32B0D"/>
    <w:rsid w:val="BAFD4EF3"/>
    <w:rsid w:val="BB2309D7"/>
    <w:rsid w:val="BB39D076"/>
    <w:rsid w:val="BB51B634"/>
    <w:rsid w:val="BB77E7E3"/>
    <w:rsid w:val="BB7F6280"/>
    <w:rsid w:val="BBAB53AE"/>
    <w:rsid w:val="BBAB58E4"/>
    <w:rsid w:val="BBAF4DFF"/>
    <w:rsid w:val="BBB7DBB8"/>
    <w:rsid w:val="BBBBAE8D"/>
    <w:rsid w:val="BBCE3990"/>
    <w:rsid w:val="BBD71006"/>
    <w:rsid w:val="BBDB7131"/>
    <w:rsid w:val="BBDFB1AD"/>
    <w:rsid w:val="BBEA274A"/>
    <w:rsid w:val="BBEC091E"/>
    <w:rsid w:val="BBEEE240"/>
    <w:rsid w:val="BBF127AF"/>
    <w:rsid w:val="BBFA5AC0"/>
    <w:rsid w:val="BBFBAE46"/>
    <w:rsid w:val="BBFDFE0E"/>
    <w:rsid w:val="BBFF59C4"/>
    <w:rsid w:val="BBFF6ECE"/>
    <w:rsid w:val="BBFF7790"/>
    <w:rsid w:val="BBFFD39F"/>
    <w:rsid w:val="BC5BCBDA"/>
    <w:rsid w:val="BC677A72"/>
    <w:rsid w:val="BC7BC86C"/>
    <w:rsid w:val="BC8FA565"/>
    <w:rsid w:val="BC9B9CAC"/>
    <w:rsid w:val="BCBFFF7C"/>
    <w:rsid w:val="BCD7C350"/>
    <w:rsid w:val="BCEF0C3C"/>
    <w:rsid w:val="BCF6E8CB"/>
    <w:rsid w:val="BD390115"/>
    <w:rsid w:val="BD5B75A3"/>
    <w:rsid w:val="BD718B90"/>
    <w:rsid w:val="BD76EA5D"/>
    <w:rsid w:val="BD93BAD2"/>
    <w:rsid w:val="BDAED368"/>
    <w:rsid w:val="BDAF6B30"/>
    <w:rsid w:val="BDB2EABE"/>
    <w:rsid w:val="BDBE537E"/>
    <w:rsid w:val="BDDFFDA0"/>
    <w:rsid w:val="BDE91371"/>
    <w:rsid w:val="BDEF78A9"/>
    <w:rsid w:val="BDEFB7A5"/>
    <w:rsid w:val="BDF74C76"/>
    <w:rsid w:val="BDF95176"/>
    <w:rsid w:val="BE3D4C41"/>
    <w:rsid w:val="BE453FFD"/>
    <w:rsid w:val="BE568129"/>
    <w:rsid w:val="BE65FB7D"/>
    <w:rsid w:val="BE778E5E"/>
    <w:rsid w:val="BE7B687D"/>
    <w:rsid w:val="BE7DAEE4"/>
    <w:rsid w:val="BE7E0B2F"/>
    <w:rsid w:val="BE7FB8C7"/>
    <w:rsid w:val="BEBF4DA9"/>
    <w:rsid w:val="BED384B4"/>
    <w:rsid w:val="BEDBD5C3"/>
    <w:rsid w:val="BEDF1A82"/>
    <w:rsid w:val="BEDFFB9D"/>
    <w:rsid w:val="BEEE2842"/>
    <w:rsid w:val="BEF7229E"/>
    <w:rsid w:val="BEF722D5"/>
    <w:rsid w:val="BEF7CEE2"/>
    <w:rsid w:val="BEFC571C"/>
    <w:rsid w:val="BEFD6E80"/>
    <w:rsid w:val="BEFEA4F5"/>
    <w:rsid w:val="BEFF8605"/>
    <w:rsid w:val="BF3F3FFD"/>
    <w:rsid w:val="BF4311C7"/>
    <w:rsid w:val="BF4ACE47"/>
    <w:rsid w:val="BF542C0C"/>
    <w:rsid w:val="BF5C0CC2"/>
    <w:rsid w:val="BF5D9BC0"/>
    <w:rsid w:val="BF67A80A"/>
    <w:rsid w:val="BF69C321"/>
    <w:rsid w:val="BF6DE4C5"/>
    <w:rsid w:val="BF75488C"/>
    <w:rsid w:val="BF762F6B"/>
    <w:rsid w:val="BF76DA2D"/>
    <w:rsid w:val="BF773F9D"/>
    <w:rsid w:val="BF790785"/>
    <w:rsid w:val="BF7A8AC8"/>
    <w:rsid w:val="BF7C0404"/>
    <w:rsid w:val="BF7E1F86"/>
    <w:rsid w:val="BF7E4750"/>
    <w:rsid w:val="BF7F409A"/>
    <w:rsid w:val="BF7FFCA0"/>
    <w:rsid w:val="BF9CC812"/>
    <w:rsid w:val="BF9EB368"/>
    <w:rsid w:val="BFAD4382"/>
    <w:rsid w:val="BFB2E99D"/>
    <w:rsid w:val="BFB5030C"/>
    <w:rsid w:val="BFB76E69"/>
    <w:rsid w:val="BFB7A96B"/>
    <w:rsid w:val="BFBD9762"/>
    <w:rsid w:val="BFBDE10F"/>
    <w:rsid w:val="BFBEE9B9"/>
    <w:rsid w:val="BFBF49AF"/>
    <w:rsid w:val="BFBF511C"/>
    <w:rsid w:val="BFBF7265"/>
    <w:rsid w:val="BFBFED70"/>
    <w:rsid w:val="BFBFF992"/>
    <w:rsid w:val="BFC7F484"/>
    <w:rsid w:val="BFCFACC3"/>
    <w:rsid w:val="BFCFECCD"/>
    <w:rsid w:val="BFD7FDCA"/>
    <w:rsid w:val="BFDC9640"/>
    <w:rsid w:val="BFDD6AD3"/>
    <w:rsid w:val="BFDF96D8"/>
    <w:rsid w:val="BFDFA56C"/>
    <w:rsid w:val="BFE3FB2A"/>
    <w:rsid w:val="BFEA8B31"/>
    <w:rsid w:val="BFEB0FAD"/>
    <w:rsid w:val="BFED2445"/>
    <w:rsid w:val="BFEE8251"/>
    <w:rsid w:val="BFEED39C"/>
    <w:rsid w:val="BFEEDE1D"/>
    <w:rsid w:val="BFF1DAD6"/>
    <w:rsid w:val="BFF24C07"/>
    <w:rsid w:val="BFF31F5E"/>
    <w:rsid w:val="BFF4B1A7"/>
    <w:rsid w:val="BFF50080"/>
    <w:rsid w:val="BFF66AB6"/>
    <w:rsid w:val="BFF6DA5D"/>
    <w:rsid w:val="BFF70EFB"/>
    <w:rsid w:val="BFF71E0A"/>
    <w:rsid w:val="BFF75886"/>
    <w:rsid w:val="BFF7BC9B"/>
    <w:rsid w:val="BFF9B9B5"/>
    <w:rsid w:val="BFFA10FC"/>
    <w:rsid w:val="BFFB1C8C"/>
    <w:rsid w:val="BFFB1FB6"/>
    <w:rsid w:val="BFFBA50E"/>
    <w:rsid w:val="BFFC0DE8"/>
    <w:rsid w:val="BFFD4CF2"/>
    <w:rsid w:val="BFFD5E55"/>
    <w:rsid w:val="BFFE3A2C"/>
    <w:rsid w:val="BFFE4EAC"/>
    <w:rsid w:val="BFFF69EC"/>
    <w:rsid w:val="BFFF8074"/>
    <w:rsid w:val="BFFFAB40"/>
    <w:rsid w:val="BFFFD95A"/>
    <w:rsid w:val="BFFFEEB0"/>
    <w:rsid w:val="BFFFF0A8"/>
    <w:rsid w:val="BFFFFBD9"/>
    <w:rsid w:val="C17F33DC"/>
    <w:rsid w:val="C27FEE6F"/>
    <w:rsid w:val="C37EA91E"/>
    <w:rsid w:val="C3878ED7"/>
    <w:rsid w:val="C3ADAE49"/>
    <w:rsid w:val="C3E3849B"/>
    <w:rsid w:val="C3FEE13A"/>
    <w:rsid w:val="C3FF1F86"/>
    <w:rsid w:val="C4A8FBDA"/>
    <w:rsid w:val="C4D5D71D"/>
    <w:rsid w:val="C4FE502A"/>
    <w:rsid w:val="C53E1E72"/>
    <w:rsid w:val="C57E9E26"/>
    <w:rsid w:val="C5FF9F15"/>
    <w:rsid w:val="C66B89A1"/>
    <w:rsid w:val="C67DF410"/>
    <w:rsid w:val="C6EF660C"/>
    <w:rsid w:val="C6EF810E"/>
    <w:rsid w:val="C6F4EAFD"/>
    <w:rsid w:val="C74B552E"/>
    <w:rsid w:val="C7EF83D5"/>
    <w:rsid w:val="C7FF02A9"/>
    <w:rsid w:val="C7FF9461"/>
    <w:rsid w:val="C8AE6ACE"/>
    <w:rsid w:val="C973887C"/>
    <w:rsid w:val="C97F68EF"/>
    <w:rsid w:val="CA6F154D"/>
    <w:rsid w:val="CAFB9269"/>
    <w:rsid w:val="CBBF1032"/>
    <w:rsid w:val="CBCF9FA7"/>
    <w:rsid w:val="CBDF2956"/>
    <w:rsid w:val="CBFEDC71"/>
    <w:rsid w:val="CC5EEDBE"/>
    <w:rsid w:val="CC7E70E8"/>
    <w:rsid w:val="CCBF26FA"/>
    <w:rsid w:val="CCFB5128"/>
    <w:rsid w:val="CD755FEC"/>
    <w:rsid w:val="CD821B64"/>
    <w:rsid w:val="CDAB4A83"/>
    <w:rsid w:val="CDBF5ED1"/>
    <w:rsid w:val="CDCF8B7B"/>
    <w:rsid w:val="CDF25932"/>
    <w:rsid w:val="CDFB705C"/>
    <w:rsid w:val="CDFDDAD8"/>
    <w:rsid w:val="CDFDF3AF"/>
    <w:rsid w:val="CDFDFC50"/>
    <w:rsid w:val="CDFF9953"/>
    <w:rsid w:val="CE94B7E8"/>
    <w:rsid w:val="CEBF2888"/>
    <w:rsid w:val="CEEBF630"/>
    <w:rsid w:val="CEFD62B6"/>
    <w:rsid w:val="CF27BC43"/>
    <w:rsid w:val="CF3D5949"/>
    <w:rsid w:val="CF79E7AB"/>
    <w:rsid w:val="CF8CAF6B"/>
    <w:rsid w:val="CFAFF12C"/>
    <w:rsid w:val="CFB3CEF9"/>
    <w:rsid w:val="CFB92CB1"/>
    <w:rsid w:val="CFBE5D57"/>
    <w:rsid w:val="CFBFB795"/>
    <w:rsid w:val="CFC6CF51"/>
    <w:rsid w:val="CFCB5FD3"/>
    <w:rsid w:val="CFCBD6A1"/>
    <w:rsid w:val="CFEBFA57"/>
    <w:rsid w:val="CFF32FAF"/>
    <w:rsid w:val="CFFA4B6C"/>
    <w:rsid w:val="CFFE93F3"/>
    <w:rsid w:val="CFFF46CC"/>
    <w:rsid w:val="D1BE899A"/>
    <w:rsid w:val="D2336627"/>
    <w:rsid w:val="D277CF58"/>
    <w:rsid w:val="D27DB1B0"/>
    <w:rsid w:val="D2DF5DC5"/>
    <w:rsid w:val="D33BCF68"/>
    <w:rsid w:val="D37A36D6"/>
    <w:rsid w:val="D37D20C1"/>
    <w:rsid w:val="D37F198F"/>
    <w:rsid w:val="D38652E5"/>
    <w:rsid w:val="D39F4D4E"/>
    <w:rsid w:val="D3B74CF5"/>
    <w:rsid w:val="D3DAA9E4"/>
    <w:rsid w:val="D3DDC055"/>
    <w:rsid w:val="D3EFF742"/>
    <w:rsid w:val="D3F8F72D"/>
    <w:rsid w:val="D3FD4FD6"/>
    <w:rsid w:val="D3FF42E1"/>
    <w:rsid w:val="D3FFB7EF"/>
    <w:rsid w:val="D4623D0A"/>
    <w:rsid w:val="D472AB51"/>
    <w:rsid w:val="D47F2862"/>
    <w:rsid w:val="D52FF3FA"/>
    <w:rsid w:val="D53B87F6"/>
    <w:rsid w:val="D63FC0BD"/>
    <w:rsid w:val="D67717AF"/>
    <w:rsid w:val="D6D7EB5F"/>
    <w:rsid w:val="D6FD101B"/>
    <w:rsid w:val="D6FD7BC7"/>
    <w:rsid w:val="D6FF7EDE"/>
    <w:rsid w:val="D72F517C"/>
    <w:rsid w:val="D76A88C6"/>
    <w:rsid w:val="D77DCECE"/>
    <w:rsid w:val="D77EA4FB"/>
    <w:rsid w:val="D79EE594"/>
    <w:rsid w:val="D7A97857"/>
    <w:rsid w:val="D7BBAEB6"/>
    <w:rsid w:val="D7BFBE51"/>
    <w:rsid w:val="D7D63829"/>
    <w:rsid w:val="D7D91963"/>
    <w:rsid w:val="D7DF1C9F"/>
    <w:rsid w:val="D7EBD965"/>
    <w:rsid w:val="D7EF6D82"/>
    <w:rsid w:val="D7F687E4"/>
    <w:rsid w:val="D7F74665"/>
    <w:rsid w:val="D7F75107"/>
    <w:rsid w:val="D7F9E5B8"/>
    <w:rsid w:val="D7FB6682"/>
    <w:rsid w:val="D7FC8009"/>
    <w:rsid w:val="D7FF61D3"/>
    <w:rsid w:val="D7FF806E"/>
    <w:rsid w:val="D8FF1B9A"/>
    <w:rsid w:val="D8FF3450"/>
    <w:rsid w:val="D97E70D6"/>
    <w:rsid w:val="D9BBBBF0"/>
    <w:rsid w:val="D9DF6176"/>
    <w:rsid w:val="D9EF44B2"/>
    <w:rsid w:val="D9FF4C18"/>
    <w:rsid w:val="D9FF7172"/>
    <w:rsid w:val="D9FFB7FF"/>
    <w:rsid w:val="DA15305A"/>
    <w:rsid w:val="DA576BD7"/>
    <w:rsid w:val="DA9FB356"/>
    <w:rsid w:val="DAE23C94"/>
    <w:rsid w:val="DAFBC2DB"/>
    <w:rsid w:val="DAFE2367"/>
    <w:rsid w:val="DAFF4F17"/>
    <w:rsid w:val="DB1B16EA"/>
    <w:rsid w:val="DB3D0BCB"/>
    <w:rsid w:val="DB3FF270"/>
    <w:rsid w:val="DB514EDB"/>
    <w:rsid w:val="DB7B809B"/>
    <w:rsid w:val="DB7DCCC5"/>
    <w:rsid w:val="DB7FF10D"/>
    <w:rsid w:val="DBAF8345"/>
    <w:rsid w:val="DBCEF2CD"/>
    <w:rsid w:val="DBDD0F80"/>
    <w:rsid w:val="DBDFF0F8"/>
    <w:rsid w:val="DBEB6844"/>
    <w:rsid w:val="DBF578FA"/>
    <w:rsid w:val="DBF77F90"/>
    <w:rsid w:val="DBF78C43"/>
    <w:rsid w:val="DBFBA2CE"/>
    <w:rsid w:val="DBFDFCEA"/>
    <w:rsid w:val="DBFF2009"/>
    <w:rsid w:val="DBFFFCD3"/>
    <w:rsid w:val="DC7C6844"/>
    <w:rsid w:val="DCAFB0FC"/>
    <w:rsid w:val="DCBE3D47"/>
    <w:rsid w:val="DCC7D6AA"/>
    <w:rsid w:val="DCDC7F48"/>
    <w:rsid w:val="DCFE6AAC"/>
    <w:rsid w:val="DCFFD51D"/>
    <w:rsid w:val="DD136101"/>
    <w:rsid w:val="DD15E431"/>
    <w:rsid w:val="DD3DD73B"/>
    <w:rsid w:val="DD4FC9DE"/>
    <w:rsid w:val="DD733A4C"/>
    <w:rsid w:val="DD9D568D"/>
    <w:rsid w:val="DDAB0141"/>
    <w:rsid w:val="DDAF5E0C"/>
    <w:rsid w:val="DDB38515"/>
    <w:rsid w:val="DDB72CFD"/>
    <w:rsid w:val="DDB804E9"/>
    <w:rsid w:val="DDBDD191"/>
    <w:rsid w:val="DDBF0020"/>
    <w:rsid w:val="DDBF3386"/>
    <w:rsid w:val="DDBFD0E8"/>
    <w:rsid w:val="DDDC4D86"/>
    <w:rsid w:val="DDDD6DBE"/>
    <w:rsid w:val="DDDF4025"/>
    <w:rsid w:val="DDDF42C7"/>
    <w:rsid w:val="DDEF6B5C"/>
    <w:rsid w:val="DDF54CD5"/>
    <w:rsid w:val="DDF76582"/>
    <w:rsid w:val="DDF77712"/>
    <w:rsid w:val="DDF79B41"/>
    <w:rsid w:val="DDF79F16"/>
    <w:rsid w:val="DDFAD851"/>
    <w:rsid w:val="DDFB5D8A"/>
    <w:rsid w:val="DDFC2EB5"/>
    <w:rsid w:val="DDFD21AD"/>
    <w:rsid w:val="DDFF2586"/>
    <w:rsid w:val="DDFF7622"/>
    <w:rsid w:val="DDFF9F15"/>
    <w:rsid w:val="DE1F471C"/>
    <w:rsid w:val="DE56E5B5"/>
    <w:rsid w:val="DE77731F"/>
    <w:rsid w:val="DE7B4029"/>
    <w:rsid w:val="DEAC8FBF"/>
    <w:rsid w:val="DEB16FC9"/>
    <w:rsid w:val="DEB2F00E"/>
    <w:rsid w:val="DEC71892"/>
    <w:rsid w:val="DEDB7DD5"/>
    <w:rsid w:val="DEDD3F09"/>
    <w:rsid w:val="DEE71046"/>
    <w:rsid w:val="DEE7E49A"/>
    <w:rsid w:val="DEE8345A"/>
    <w:rsid w:val="DEF6C0AC"/>
    <w:rsid w:val="DEF86513"/>
    <w:rsid w:val="DEF8D55C"/>
    <w:rsid w:val="DEFB0D41"/>
    <w:rsid w:val="DEFBC283"/>
    <w:rsid w:val="DEFDFDBC"/>
    <w:rsid w:val="DEFFA556"/>
    <w:rsid w:val="DEFFD58C"/>
    <w:rsid w:val="DF0FC31D"/>
    <w:rsid w:val="DF1B759D"/>
    <w:rsid w:val="DF368EDE"/>
    <w:rsid w:val="DF3F27A7"/>
    <w:rsid w:val="DF5BA581"/>
    <w:rsid w:val="DF5D614A"/>
    <w:rsid w:val="DF5D713E"/>
    <w:rsid w:val="DF62D580"/>
    <w:rsid w:val="DF676322"/>
    <w:rsid w:val="DF6DE6EB"/>
    <w:rsid w:val="DF6FEF80"/>
    <w:rsid w:val="DF769D65"/>
    <w:rsid w:val="DF799748"/>
    <w:rsid w:val="DF7A0F48"/>
    <w:rsid w:val="DF7C04B3"/>
    <w:rsid w:val="DF7F59A2"/>
    <w:rsid w:val="DF9472FA"/>
    <w:rsid w:val="DF967756"/>
    <w:rsid w:val="DF9E6F11"/>
    <w:rsid w:val="DF9FB16D"/>
    <w:rsid w:val="DFADD118"/>
    <w:rsid w:val="DFAFB0CC"/>
    <w:rsid w:val="DFB35A89"/>
    <w:rsid w:val="DFB7318D"/>
    <w:rsid w:val="DFB7D4E4"/>
    <w:rsid w:val="DFBC6C90"/>
    <w:rsid w:val="DFBC9748"/>
    <w:rsid w:val="DFBD689F"/>
    <w:rsid w:val="DFBDBB0C"/>
    <w:rsid w:val="DFBDCD71"/>
    <w:rsid w:val="DFBF5BCD"/>
    <w:rsid w:val="DFBFE583"/>
    <w:rsid w:val="DFCC35E8"/>
    <w:rsid w:val="DFCE53AA"/>
    <w:rsid w:val="DFD52F64"/>
    <w:rsid w:val="DFD5E779"/>
    <w:rsid w:val="DFDC0AA4"/>
    <w:rsid w:val="DFDDA4BD"/>
    <w:rsid w:val="DFDDEBDF"/>
    <w:rsid w:val="DFDF29AC"/>
    <w:rsid w:val="DFE72E24"/>
    <w:rsid w:val="DFE98653"/>
    <w:rsid w:val="DFE9D841"/>
    <w:rsid w:val="DFEB6393"/>
    <w:rsid w:val="DFEFE756"/>
    <w:rsid w:val="DFEFFB4B"/>
    <w:rsid w:val="DFF23D6C"/>
    <w:rsid w:val="DFF39099"/>
    <w:rsid w:val="DFF534DF"/>
    <w:rsid w:val="DFF5C00A"/>
    <w:rsid w:val="DFF5DF68"/>
    <w:rsid w:val="DFF6C207"/>
    <w:rsid w:val="DFF736B8"/>
    <w:rsid w:val="DFF7C3F7"/>
    <w:rsid w:val="DFF7CD75"/>
    <w:rsid w:val="DFF7EC39"/>
    <w:rsid w:val="DFF9DB8B"/>
    <w:rsid w:val="DFFB480F"/>
    <w:rsid w:val="DFFB8F3F"/>
    <w:rsid w:val="DFFBC6CF"/>
    <w:rsid w:val="DFFD47DC"/>
    <w:rsid w:val="DFFE0164"/>
    <w:rsid w:val="DFFEDAAE"/>
    <w:rsid w:val="DFFEDB20"/>
    <w:rsid w:val="DFFEDF8B"/>
    <w:rsid w:val="DFFEE3BF"/>
    <w:rsid w:val="DFFF27C3"/>
    <w:rsid w:val="DFFF6D83"/>
    <w:rsid w:val="DFFFC8FB"/>
    <w:rsid w:val="DFFFF849"/>
    <w:rsid w:val="E1ED9EE5"/>
    <w:rsid w:val="E1FFC492"/>
    <w:rsid w:val="E266309C"/>
    <w:rsid w:val="E2FEB6B9"/>
    <w:rsid w:val="E34FC2F0"/>
    <w:rsid w:val="E3D6BBC7"/>
    <w:rsid w:val="E3D727D4"/>
    <w:rsid w:val="E3DBF1A5"/>
    <w:rsid w:val="E3E715C7"/>
    <w:rsid w:val="E3EACC76"/>
    <w:rsid w:val="E3EBFD66"/>
    <w:rsid w:val="E4BFAA75"/>
    <w:rsid w:val="E4FF1FA3"/>
    <w:rsid w:val="E4FFE8AE"/>
    <w:rsid w:val="E53B4A7D"/>
    <w:rsid w:val="E57B6BA9"/>
    <w:rsid w:val="E57DD9E0"/>
    <w:rsid w:val="E59DB48C"/>
    <w:rsid w:val="E5CF8EB2"/>
    <w:rsid w:val="E5CFB4BD"/>
    <w:rsid w:val="E5DBAB60"/>
    <w:rsid w:val="E5DBD466"/>
    <w:rsid w:val="E5E3F7D9"/>
    <w:rsid w:val="E5EFF4AC"/>
    <w:rsid w:val="E5FA0415"/>
    <w:rsid w:val="E5FEAE85"/>
    <w:rsid w:val="E5FF2059"/>
    <w:rsid w:val="E5FFD8A3"/>
    <w:rsid w:val="E6050C4B"/>
    <w:rsid w:val="E66A4AE8"/>
    <w:rsid w:val="E677EB9D"/>
    <w:rsid w:val="E6AEE93E"/>
    <w:rsid w:val="E6BEBE8C"/>
    <w:rsid w:val="E6C73039"/>
    <w:rsid w:val="E6CE4BB1"/>
    <w:rsid w:val="E6CEE904"/>
    <w:rsid w:val="E6F7141B"/>
    <w:rsid w:val="E6FD6F64"/>
    <w:rsid w:val="E723AAD8"/>
    <w:rsid w:val="E75D3644"/>
    <w:rsid w:val="E75E8A7D"/>
    <w:rsid w:val="E75F459B"/>
    <w:rsid w:val="E75F6631"/>
    <w:rsid w:val="E77ABE58"/>
    <w:rsid w:val="E77B790D"/>
    <w:rsid w:val="E77F2CE4"/>
    <w:rsid w:val="E77F3DC5"/>
    <w:rsid w:val="E77F5909"/>
    <w:rsid w:val="E7AC3316"/>
    <w:rsid w:val="E7CBA832"/>
    <w:rsid w:val="E7CFB0C8"/>
    <w:rsid w:val="E7DBA579"/>
    <w:rsid w:val="E7DEDB2D"/>
    <w:rsid w:val="E7DF7B75"/>
    <w:rsid w:val="E7DFF0E7"/>
    <w:rsid w:val="E7EAACAA"/>
    <w:rsid w:val="E7F7B6EC"/>
    <w:rsid w:val="E7FBF9FC"/>
    <w:rsid w:val="E7FE38E3"/>
    <w:rsid w:val="E7FFBFA0"/>
    <w:rsid w:val="E8B7083A"/>
    <w:rsid w:val="E8C3470F"/>
    <w:rsid w:val="E8F9FE0F"/>
    <w:rsid w:val="E93424A1"/>
    <w:rsid w:val="E98D7F9F"/>
    <w:rsid w:val="E99E6F21"/>
    <w:rsid w:val="E9BE1EB9"/>
    <w:rsid w:val="E9BF5A0E"/>
    <w:rsid w:val="E9C05D30"/>
    <w:rsid w:val="E9C7E124"/>
    <w:rsid w:val="E9D13979"/>
    <w:rsid w:val="E9FF04A2"/>
    <w:rsid w:val="EA37494B"/>
    <w:rsid w:val="EA9A172D"/>
    <w:rsid w:val="EAB7293E"/>
    <w:rsid w:val="EABC0FEF"/>
    <w:rsid w:val="EADFE183"/>
    <w:rsid w:val="EAEF2691"/>
    <w:rsid w:val="EAF3D21B"/>
    <w:rsid w:val="EAF3DB3F"/>
    <w:rsid w:val="EAF774BC"/>
    <w:rsid w:val="EB490F8F"/>
    <w:rsid w:val="EB5F28D6"/>
    <w:rsid w:val="EB64B45F"/>
    <w:rsid w:val="EB6B1ED9"/>
    <w:rsid w:val="EB6ED9DD"/>
    <w:rsid w:val="EB73E4CB"/>
    <w:rsid w:val="EB7642CE"/>
    <w:rsid w:val="EB7FA038"/>
    <w:rsid w:val="EB9F4AE7"/>
    <w:rsid w:val="EBAF5090"/>
    <w:rsid w:val="EBAF9ABB"/>
    <w:rsid w:val="EBB7603C"/>
    <w:rsid w:val="EBBE32CC"/>
    <w:rsid w:val="EBBFF95E"/>
    <w:rsid w:val="EBCDE08E"/>
    <w:rsid w:val="EBD048D5"/>
    <w:rsid w:val="EBDEA256"/>
    <w:rsid w:val="EBDF5779"/>
    <w:rsid w:val="EBE1C2BD"/>
    <w:rsid w:val="EBE73857"/>
    <w:rsid w:val="EBEE5079"/>
    <w:rsid w:val="EBFB20B2"/>
    <w:rsid w:val="EBFE24C2"/>
    <w:rsid w:val="EBFF3DE8"/>
    <w:rsid w:val="EBFF436A"/>
    <w:rsid w:val="EC67E713"/>
    <w:rsid w:val="ECBF11E1"/>
    <w:rsid w:val="ECD4A90B"/>
    <w:rsid w:val="ECDDE44C"/>
    <w:rsid w:val="ECDF4857"/>
    <w:rsid w:val="ECEED660"/>
    <w:rsid w:val="ECF3D98C"/>
    <w:rsid w:val="ECF666FD"/>
    <w:rsid w:val="ED43A049"/>
    <w:rsid w:val="ED4F8239"/>
    <w:rsid w:val="ED73A2C8"/>
    <w:rsid w:val="ED7A58C3"/>
    <w:rsid w:val="ED7F240A"/>
    <w:rsid w:val="ED7F47CA"/>
    <w:rsid w:val="ED8B25D7"/>
    <w:rsid w:val="EDA5B122"/>
    <w:rsid w:val="EDA90634"/>
    <w:rsid w:val="EDAD7445"/>
    <w:rsid w:val="EDADE3C1"/>
    <w:rsid w:val="EDBF9B62"/>
    <w:rsid w:val="EDCB0CFA"/>
    <w:rsid w:val="EDD1BDBF"/>
    <w:rsid w:val="EDDD28D3"/>
    <w:rsid w:val="EDDD41BA"/>
    <w:rsid w:val="EDDDACD2"/>
    <w:rsid w:val="EDDF5E3C"/>
    <w:rsid w:val="EDDF8B78"/>
    <w:rsid w:val="EDE5246B"/>
    <w:rsid w:val="EDF17AFA"/>
    <w:rsid w:val="EDF5BFE9"/>
    <w:rsid w:val="EDFB81A4"/>
    <w:rsid w:val="EDFBFE12"/>
    <w:rsid w:val="EDFE42A9"/>
    <w:rsid w:val="EDFF2132"/>
    <w:rsid w:val="EDFF7D55"/>
    <w:rsid w:val="EDFF9C1B"/>
    <w:rsid w:val="EDFFAA71"/>
    <w:rsid w:val="EDFFEF3B"/>
    <w:rsid w:val="EE3BFB46"/>
    <w:rsid w:val="EE66A7D8"/>
    <w:rsid w:val="EE7B399F"/>
    <w:rsid w:val="EE7BD05C"/>
    <w:rsid w:val="EE7F8A6D"/>
    <w:rsid w:val="EEA5D4FA"/>
    <w:rsid w:val="EEBCD353"/>
    <w:rsid w:val="EECA6E42"/>
    <w:rsid w:val="EEEF6AC4"/>
    <w:rsid w:val="EEF524C0"/>
    <w:rsid w:val="EEF73F75"/>
    <w:rsid w:val="EEF8BA15"/>
    <w:rsid w:val="EEF974AF"/>
    <w:rsid w:val="EEFB9FFE"/>
    <w:rsid w:val="EEFBB544"/>
    <w:rsid w:val="EEFBD320"/>
    <w:rsid w:val="EEFCCA47"/>
    <w:rsid w:val="EEFD6B85"/>
    <w:rsid w:val="EEFECD0F"/>
    <w:rsid w:val="EEFF0447"/>
    <w:rsid w:val="EF0F1D5B"/>
    <w:rsid w:val="EF1FB5D2"/>
    <w:rsid w:val="EF47FF87"/>
    <w:rsid w:val="EF4BB907"/>
    <w:rsid w:val="EF4FE8EB"/>
    <w:rsid w:val="EF5F2EE9"/>
    <w:rsid w:val="EF65C52F"/>
    <w:rsid w:val="EF6DBD20"/>
    <w:rsid w:val="EF729A33"/>
    <w:rsid w:val="EF731016"/>
    <w:rsid w:val="EF7F0F39"/>
    <w:rsid w:val="EF7F1DD3"/>
    <w:rsid w:val="EF7F2127"/>
    <w:rsid w:val="EF7FD9E3"/>
    <w:rsid w:val="EF7FEAB6"/>
    <w:rsid w:val="EF8E05AF"/>
    <w:rsid w:val="EF99BC7E"/>
    <w:rsid w:val="EF9B2D2B"/>
    <w:rsid w:val="EF9EDEA8"/>
    <w:rsid w:val="EF9F6EE4"/>
    <w:rsid w:val="EFA73242"/>
    <w:rsid w:val="EFADE64B"/>
    <w:rsid w:val="EFAFD5E4"/>
    <w:rsid w:val="EFB78E5B"/>
    <w:rsid w:val="EFB8DD73"/>
    <w:rsid w:val="EFBE57A4"/>
    <w:rsid w:val="EFBF655C"/>
    <w:rsid w:val="EFBFAA86"/>
    <w:rsid w:val="EFBFB544"/>
    <w:rsid w:val="EFCDB8CD"/>
    <w:rsid w:val="EFCF9D90"/>
    <w:rsid w:val="EFD6B63C"/>
    <w:rsid w:val="EFDBF7A7"/>
    <w:rsid w:val="EFDD8D2D"/>
    <w:rsid w:val="EFDDDD51"/>
    <w:rsid w:val="EFDF487E"/>
    <w:rsid w:val="EFDF9CF0"/>
    <w:rsid w:val="EFDFAD1E"/>
    <w:rsid w:val="EFE12880"/>
    <w:rsid w:val="EFE3601C"/>
    <w:rsid w:val="EFE93AA8"/>
    <w:rsid w:val="EFF27587"/>
    <w:rsid w:val="EFF68DDF"/>
    <w:rsid w:val="EFF7351B"/>
    <w:rsid w:val="EFF79C2F"/>
    <w:rsid w:val="EFF7EAC6"/>
    <w:rsid w:val="EFF92BAF"/>
    <w:rsid w:val="EFFA62C7"/>
    <w:rsid w:val="EFFBAF41"/>
    <w:rsid w:val="EFFBF0E5"/>
    <w:rsid w:val="EFFBF37E"/>
    <w:rsid w:val="EFFCB1F9"/>
    <w:rsid w:val="EFFCDC54"/>
    <w:rsid w:val="EFFDF1AF"/>
    <w:rsid w:val="EFFE0921"/>
    <w:rsid w:val="EFFE2D41"/>
    <w:rsid w:val="EFFE4E1E"/>
    <w:rsid w:val="EFFED38E"/>
    <w:rsid w:val="EFFEF8CB"/>
    <w:rsid w:val="EFFF0219"/>
    <w:rsid w:val="EFFF5551"/>
    <w:rsid w:val="EFFF7A29"/>
    <w:rsid w:val="EFFFB3C8"/>
    <w:rsid w:val="EFFFCFE2"/>
    <w:rsid w:val="EFFFE05F"/>
    <w:rsid w:val="EFFFEC89"/>
    <w:rsid w:val="F0CE9CEE"/>
    <w:rsid w:val="F0FF9831"/>
    <w:rsid w:val="F0FFBE19"/>
    <w:rsid w:val="F16FF29E"/>
    <w:rsid w:val="F1729934"/>
    <w:rsid w:val="F17F784D"/>
    <w:rsid w:val="F1B7701B"/>
    <w:rsid w:val="F1BF7EE9"/>
    <w:rsid w:val="F1E62575"/>
    <w:rsid w:val="F1F697A0"/>
    <w:rsid w:val="F1FC0BC4"/>
    <w:rsid w:val="F1FF1B01"/>
    <w:rsid w:val="F1FFAB30"/>
    <w:rsid w:val="F2460966"/>
    <w:rsid w:val="F2750DED"/>
    <w:rsid w:val="F27F9021"/>
    <w:rsid w:val="F2874FE4"/>
    <w:rsid w:val="F2DF806A"/>
    <w:rsid w:val="F2EFCF0B"/>
    <w:rsid w:val="F2FB3E46"/>
    <w:rsid w:val="F2FECE9E"/>
    <w:rsid w:val="F31E3F7D"/>
    <w:rsid w:val="F33FD682"/>
    <w:rsid w:val="F36BDA36"/>
    <w:rsid w:val="F36BE451"/>
    <w:rsid w:val="F36CE821"/>
    <w:rsid w:val="F38E31A0"/>
    <w:rsid w:val="F39F01FE"/>
    <w:rsid w:val="F3B76DA1"/>
    <w:rsid w:val="F3CFEF4A"/>
    <w:rsid w:val="F3D7D481"/>
    <w:rsid w:val="F3DB7A56"/>
    <w:rsid w:val="F3E7BEBC"/>
    <w:rsid w:val="F3EE4243"/>
    <w:rsid w:val="F3F59746"/>
    <w:rsid w:val="F3F7E7E0"/>
    <w:rsid w:val="F3F98B64"/>
    <w:rsid w:val="F3FA52ED"/>
    <w:rsid w:val="F3FA9F6E"/>
    <w:rsid w:val="F3FBF04E"/>
    <w:rsid w:val="F3FEA69D"/>
    <w:rsid w:val="F45E0566"/>
    <w:rsid w:val="F4AFFB81"/>
    <w:rsid w:val="F4BB81DA"/>
    <w:rsid w:val="F4EADE34"/>
    <w:rsid w:val="F4F02916"/>
    <w:rsid w:val="F513E6E0"/>
    <w:rsid w:val="F56DBD7D"/>
    <w:rsid w:val="F576A97E"/>
    <w:rsid w:val="F5773DC2"/>
    <w:rsid w:val="F579D368"/>
    <w:rsid w:val="F5CBE06B"/>
    <w:rsid w:val="F5DF0C76"/>
    <w:rsid w:val="F5E51C66"/>
    <w:rsid w:val="F5E71DF8"/>
    <w:rsid w:val="F5EBB14C"/>
    <w:rsid w:val="F5EE157F"/>
    <w:rsid w:val="F5FA2273"/>
    <w:rsid w:val="F5FD5938"/>
    <w:rsid w:val="F5FDFE69"/>
    <w:rsid w:val="F5FE57CB"/>
    <w:rsid w:val="F5FE96C4"/>
    <w:rsid w:val="F5FF3067"/>
    <w:rsid w:val="F5FF8AB2"/>
    <w:rsid w:val="F6051281"/>
    <w:rsid w:val="F61BACB0"/>
    <w:rsid w:val="F61DEF13"/>
    <w:rsid w:val="F65FC231"/>
    <w:rsid w:val="F677082F"/>
    <w:rsid w:val="F67BE340"/>
    <w:rsid w:val="F67E26F9"/>
    <w:rsid w:val="F67FA0F2"/>
    <w:rsid w:val="F695A103"/>
    <w:rsid w:val="F6AF100E"/>
    <w:rsid w:val="F6BB4DFA"/>
    <w:rsid w:val="F6BCB538"/>
    <w:rsid w:val="F6D7CC09"/>
    <w:rsid w:val="F6DABF0F"/>
    <w:rsid w:val="F6DAE45A"/>
    <w:rsid w:val="F6DDC80F"/>
    <w:rsid w:val="F6ED4C20"/>
    <w:rsid w:val="F6EF1FE4"/>
    <w:rsid w:val="F6F6F5DC"/>
    <w:rsid w:val="F6FB25A0"/>
    <w:rsid w:val="F6FE638B"/>
    <w:rsid w:val="F6FFAA17"/>
    <w:rsid w:val="F6FFB560"/>
    <w:rsid w:val="F6FFD114"/>
    <w:rsid w:val="F70FF92D"/>
    <w:rsid w:val="F710B998"/>
    <w:rsid w:val="F72FA855"/>
    <w:rsid w:val="F73E38E9"/>
    <w:rsid w:val="F757495B"/>
    <w:rsid w:val="F7598CFE"/>
    <w:rsid w:val="F75BBB73"/>
    <w:rsid w:val="F75FC183"/>
    <w:rsid w:val="F75FD1B5"/>
    <w:rsid w:val="F76F507D"/>
    <w:rsid w:val="F7746D86"/>
    <w:rsid w:val="F776F724"/>
    <w:rsid w:val="F777132A"/>
    <w:rsid w:val="F77B0ACC"/>
    <w:rsid w:val="F77D2E18"/>
    <w:rsid w:val="F77F74D2"/>
    <w:rsid w:val="F79EF6C0"/>
    <w:rsid w:val="F79F00D1"/>
    <w:rsid w:val="F79F9554"/>
    <w:rsid w:val="F7ADB83C"/>
    <w:rsid w:val="F7B7D4A4"/>
    <w:rsid w:val="F7BF47A6"/>
    <w:rsid w:val="F7BF64F4"/>
    <w:rsid w:val="F7BFDE7C"/>
    <w:rsid w:val="F7BFFBFA"/>
    <w:rsid w:val="F7C3218E"/>
    <w:rsid w:val="F7CF1451"/>
    <w:rsid w:val="F7D6365A"/>
    <w:rsid w:val="F7D93B3A"/>
    <w:rsid w:val="F7DBD96B"/>
    <w:rsid w:val="F7DE1FEE"/>
    <w:rsid w:val="F7DE5955"/>
    <w:rsid w:val="F7DF0EBD"/>
    <w:rsid w:val="F7DFBE4C"/>
    <w:rsid w:val="F7E515B3"/>
    <w:rsid w:val="F7E6767B"/>
    <w:rsid w:val="F7E6B4F8"/>
    <w:rsid w:val="F7E74DD3"/>
    <w:rsid w:val="F7E7BB34"/>
    <w:rsid w:val="F7EB07AF"/>
    <w:rsid w:val="F7EBC00E"/>
    <w:rsid w:val="F7EDD0C0"/>
    <w:rsid w:val="F7EE9174"/>
    <w:rsid w:val="F7F3C585"/>
    <w:rsid w:val="F7F3F0A8"/>
    <w:rsid w:val="F7F5B633"/>
    <w:rsid w:val="F7F5BF31"/>
    <w:rsid w:val="F7F5C404"/>
    <w:rsid w:val="F7F5E5A4"/>
    <w:rsid w:val="F7F6CBB2"/>
    <w:rsid w:val="F7F6D248"/>
    <w:rsid w:val="F7F7020E"/>
    <w:rsid w:val="F7F71A2B"/>
    <w:rsid w:val="F7F773D9"/>
    <w:rsid w:val="F7F9D658"/>
    <w:rsid w:val="F7F9E7ED"/>
    <w:rsid w:val="F7FADE35"/>
    <w:rsid w:val="F7FB5DE6"/>
    <w:rsid w:val="F7FBD783"/>
    <w:rsid w:val="F7FCD830"/>
    <w:rsid w:val="F7FD452E"/>
    <w:rsid w:val="F7FD6B9C"/>
    <w:rsid w:val="F7FDD567"/>
    <w:rsid w:val="F7FE253B"/>
    <w:rsid w:val="F7FE54ED"/>
    <w:rsid w:val="F7FE9C07"/>
    <w:rsid w:val="F7FEC6EE"/>
    <w:rsid w:val="F7FF4E21"/>
    <w:rsid w:val="F7FF6A4D"/>
    <w:rsid w:val="F7FFA8BD"/>
    <w:rsid w:val="F7FFD2B6"/>
    <w:rsid w:val="F7FFE5A0"/>
    <w:rsid w:val="F7FFF988"/>
    <w:rsid w:val="F7FFFDAB"/>
    <w:rsid w:val="F8397B0D"/>
    <w:rsid w:val="F87F9438"/>
    <w:rsid w:val="F8CFBF20"/>
    <w:rsid w:val="F8D0CD16"/>
    <w:rsid w:val="F8DEE0C5"/>
    <w:rsid w:val="F8EB8927"/>
    <w:rsid w:val="F8FB4129"/>
    <w:rsid w:val="F8FF17B1"/>
    <w:rsid w:val="F8FF1EAB"/>
    <w:rsid w:val="F8FF9CA9"/>
    <w:rsid w:val="F93F222F"/>
    <w:rsid w:val="F97340EE"/>
    <w:rsid w:val="F97D2A90"/>
    <w:rsid w:val="F97F0EF4"/>
    <w:rsid w:val="F97F633E"/>
    <w:rsid w:val="F9BC83D9"/>
    <w:rsid w:val="F9D32076"/>
    <w:rsid w:val="F9DD854F"/>
    <w:rsid w:val="F9E74249"/>
    <w:rsid w:val="F9EC27E4"/>
    <w:rsid w:val="F9EE4DA0"/>
    <w:rsid w:val="F9EF0A32"/>
    <w:rsid w:val="F9F45EA0"/>
    <w:rsid w:val="F9F54F78"/>
    <w:rsid w:val="F9F78E37"/>
    <w:rsid w:val="F9FA8265"/>
    <w:rsid w:val="F9FF5D3A"/>
    <w:rsid w:val="F9FFABB3"/>
    <w:rsid w:val="FA2B2B6E"/>
    <w:rsid w:val="FA6F4177"/>
    <w:rsid w:val="FA758AE9"/>
    <w:rsid w:val="FA7C4CEB"/>
    <w:rsid w:val="FA9F2B85"/>
    <w:rsid w:val="FAA767A9"/>
    <w:rsid w:val="FAAEAD4F"/>
    <w:rsid w:val="FAB751A8"/>
    <w:rsid w:val="FABADFAA"/>
    <w:rsid w:val="FABE0DB7"/>
    <w:rsid w:val="FABF841F"/>
    <w:rsid w:val="FAD30E49"/>
    <w:rsid w:val="FAD9AD79"/>
    <w:rsid w:val="FADD3678"/>
    <w:rsid w:val="FAE93198"/>
    <w:rsid w:val="FAF705A3"/>
    <w:rsid w:val="FAFCE248"/>
    <w:rsid w:val="FAFD3C3D"/>
    <w:rsid w:val="FAFE51A2"/>
    <w:rsid w:val="FAFF1D03"/>
    <w:rsid w:val="FAFF5B09"/>
    <w:rsid w:val="FAFFA8D1"/>
    <w:rsid w:val="FAFFFEC8"/>
    <w:rsid w:val="FB1BAFB6"/>
    <w:rsid w:val="FB253A62"/>
    <w:rsid w:val="FB2D6D07"/>
    <w:rsid w:val="FB3643C9"/>
    <w:rsid w:val="FB37036D"/>
    <w:rsid w:val="FB37CE2A"/>
    <w:rsid w:val="FB3D313E"/>
    <w:rsid w:val="FB57F166"/>
    <w:rsid w:val="FB5EF647"/>
    <w:rsid w:val="FB6E46E0"/>
    <w:rsid w:val="FB7E4788"/>
    <w:rsid w:val="FB7F39F1"/>
    <w:rsid w:val="FB7F90E6"/>
    <w:rsid w:val="FB963442"/>
    <w:rsid w:val="FB966B6B"/>
    <w:rsid w:val="FB99A3CE"/>
    <w:rsid w:val="FB9F4BE8"/>
    <w:rsid w:val="FBB7E6D4"/>
    <w:rsid w:val="FBBB72D8"/>
    <w:rsid w:val="FBBCB373"/>
    <w:rsid w:val="FBBD4780"/>
    <w:rsid w:val="FBBDF049"/>
    <w:rsid w:val="FBBEEB99"/>
    <w:rsid w:val="FBBFBFE9"/>
    <w:rsid w:val="FBBFCC80"/>
    <w:rsid w:val="FBD10126"/>
    <w:rsid w:val="FBD7EFBF"/>
    <w:rsid w:val="FBDC5FF1"/>
    <w:rsid w:val="FBDD00F2"/>
    <w:rsid w:val="FBDD0CF1"/>
    <w:rsid w:val="FBDD4804"/>
    <w:rsid w:val="FBDE125E"/>
    <w:rsid w:val="FBEE002C"/>
    <w:rsid w:val="FBEEC459"/>
    <w:rsid w:val="FBEEEC5D"/>
    <w:rsid w:val="FBEF28BD"/>
    <w:rsid w:val="FBEF5AEF"/>
    <w:rsid w:val="FBF1E0DA"/>
    <w:rsid w:val="FBF3836D"/>
    <w:rsid w:val="FBF3E608"/>
    <w:rsid w:val="FBF5CDA9"/>
    <w:rsid w:val="FBF7794F"/>
    <w:rsid w:val="FBF7E0B9"/>
    <w:rsid w:val="FBFA0D73"/>
    <w:rsid w:val="FBFBBF05"/>
    <w:rsid w:val="FBFBFE5E"/>
    <w:rsid w:val="FBFD7BC7"/>
    <w:rsid w:val="FBFD9D80"/>
    <w:rsid w:val="FBFE783E"/>
    <w:rsid w:val="FBFE9F2E"/>
    <w:rsid w:val="FBFF24B4"/>
    <w:rsid w:val="FBFF3F6D"/>
    <w:rsid w:val="FBFF5DE2"/>
    <w:rsid w:val="FBFF896C"/>
    <w:rsid w:val="FBFF9428"/>
    <w:rsid w:val="FBFF99EF"/>
    <w:rsid w:val="FBFFFD58"/>
    <w:rsid w:val="FC1F1B5A"/>
    <w:rsid w:val="FC2B5D14"/>
    <w:rsid w:val="FC3F8A05"/>
    <w:rsid w:val="FC5FC3FA"/>
    <w:rsid w:val="FC737F9A"/>
    <w:rsid w:val="FC7FB470"/>
    <w:rsid w:val="FC8F0392"/>
    <w:rsid w:val="FC9FD597"/>
    <w:rsid w:val="FCAFAFF7"/>
    <w:rsid w:val="FCBFC792"/>
    <w:rsid w:val="FCCA1BEC"/>
    <w:rsid w:val="FCCFBB05"/>
    <w:rsid w:val="FCDCFF9F"/>
    <w:rsid w:val="FCE54839"/>
    <w:rsid w:val="FCEF9374"/>
    <w:rsid w:val="FCF65F0B"/>
    <w:rsid w:val="FCF77883"/>
    <w:rsid w:val="FCFBA7AC"/>
    <w:rsid w:val="FCFC5D85"/>
    <w:rsid w:val="FCFD5C0F"/>
    <w:rsid w:val="FCFD60C2"/>
    <w:rsid w:val="FCFD8871"/>
    <w:rsid w:val="FCFDFCB9"/>
    <w:rsid w:val="FCFF6E00"/>
    <w:rsid w:val="FCFF9E78"/>
    <w:rsid w:val="FCFF9F96"/>
    <w:rsid w:val="FD250C56"/>
    <w:rsid w:val="FD2BAE09"/>
    <w:rsid w:val="FD372333"/>
    <w:rsid w:val="FD3D7870"/>
    <w:rsid w:val="FD55275E"/>
    <w:rsid w:val="FD675D70"/>
    <w:rsid w:val="FD69A197"/>
    <w:rsid w:val="FD6EFEF0"/>
    <w:rsid w:val="FD75415B"/>
    <w:rsid w:val="FD7599C1"/>
    <w:rsid w:val="FD77BA7F"/>
    <w:rsid w:val="FD7B567C"/>
    <w:rsid w:val="FD7C2CE6"/>
    <w:rsid w:val="FD7D7EAB"/>
    <w:rsid w:val="FD7D9F07"/>
    <w:rsid w:val="FD7E7941"/>
    <w:rsid w:val="FD7F2AF6"/>
    <w:rsid w:val="FD89324E"/>
    <w:rsid w:val="FD95D1C8"/>
    <w:rsid w:val="FD9F244E"/>
    <w:rsid w:val="FD9FF1BD"/>
    <w:rsid w:val="FDA64E2B"/>
    <w:rsid w:val="FDA7FB54"/>
    <w:rsid w:val="FDAF510A"/>
    <w:rsid w:val="FDB75C13"/>
    <w:rsid w:val="FDBB027D"/>
    <w:rsid w:val="FDBBB8BE"/>
    <w:rsid w:val="FDBD41C9"/>
    <w:rsid w:val="FDBDBE06"/>
    <w:rsid w:val="FDBFB696"/>
    <w:rsid w:val="FDC61329"/>
    <w:rsid w:val="FDCDEDD7"/>
    <w:rsid w:val="FDD1CB0E"/>
    <w:rsid w:val="FDD78A06"/>
    <w:rsid w:val="FDDADD18"/>
    <w:rsid w:val="FDDB7459"/>
    <w:rsid w:val="FDDBC577"/>
    <w:rsid w:val="FDDCB4AD"/>
    <w:rsid w:val="FDDD0215"/>
    <w:rsid w:val="FDDD4DB3"/>
    <w:rsid w:val="FDDDC69B"/>
    <w:rsid w:val="FDDF9609"/>
    <w:rsid w:val="FDE54B97"/>
    <w:rsid w:val="FDE6B13D"/>
    <w:rsid w:val="FDEB1466"/>
    <w:rsid w:val="FDEBF3A6"/>
    <w:rsid w:val="FDEED695"/>
    <w:rsid w:val="FDEEE274"/>
    <w:rsid w:val="FDF5D7B0"/>
    <w:rsid w:val="FDF6CB7A"/>
    <w:rsid w:val="FDF70D5D"/>
    <w:rsid w:val="FDF71096"/>
    <w:rsid w:val="FDF760C9"/>
    <w:rsid w:val="FDF7B816"/>
    <w:rsid w:val="FDF9674C"/>
    <w:rsid w:val="FDFAECF0"/>
    <w:rsid w:val="FDFB1829"/>
    <w:rsid w:val="FDFB2376"/>
    <w:rsid w:val="FDFB7135"/>
    <w:rsid w:val="FDFBF2FC"/>
    <w:rsid w:val="FDFDDE50"/>
    <w:rsid w:val="FDFE10BA"/>
    <w:rsid w:val="FDFE32DE"/>
    <w:rsid w:val="FDFF2E17"/>
    <w:rsid w:val="FDFF61A6"/>
    <w:rsid w:val="FDFF9489"/>
    <w:rsid w:val="FDFFE7AA"/>
    <w:rsid w:val="FDFFEFA2"/>
    <w:rsid w:val="FE1748AC"/>
    <w:rsid w:val="FE2FACAF"/>
    <w:rsid w:val="FE560256"/>
    <w:rsid w:val="FE5E2937"/>
    <w:rsid w:val="FE7CF128"/>
    <w:rsid w:val="FE7D98A9"/>
    <w:rsid w:val="FE7F2BA9"/>
    <w:rsid w:val="FE7F9691"/>
    <w:rsid w:val="FE7FAB5F"/>
    <w:rsid w:val="FE8752C3"/>
    <w:rsid w:val="FE98E89F"/>
    <w:rsid w:val="FE99E803"/>
    <w:rsid w:val="FE9BE4F2"/>
    <w:rsid w:val="FE9D32FF"/>
    <w:rsid w:val="FE9FFB6E"/>
    <w:rsid w:val="FEAE4FC2"/>
    <w:rsid w:val="FEAE741C"/>
    <w:rsid w:val="FEAF46C9"/>
    <w:rsid w:val="FEAFB475"/>
    <w:rsid w:val="FEB12C67"/>
    <w:rsid w:val="FEB721B2"/>
    <w:rsid w:val="FEB730BC"/>
    <w:rsid w:val="FEBB7350"/>
    <w:rsid w:val="FEBE2D88"/>
    <w:rsid w:val="FEBE527A"/>
    <w:rsid w:val="FEBF54CE"/>
    <w:rsid w:val="FECF0D79"/>
    <w:rsid w:val="FECFD0D9"/>
    <w:rsid w:val="FED26C68"/>
    <w:rsid w:val="FED7263F"/>
    <w:rsid w:val="FED79EF5"/>
    <w:rsid w:val="FEDBB87A"/>
    <w:rsid w:val="FEDBC0EE"/>
    <w:rsid w:val="FEDD24D3"/>
    <w:rsid w:val="FEDD8CAA"/>
    <w:rsid w:val="FEDDC872"/>
    <w:rsid w:val="FEDDFC86"/>
    <w:rsid w:val="FEDF2863"/>
    <w:rsid w:val="FEDF3924"/>
    <w:rsid w:val="FEDF59B8"/>
    <w:rsid w:val="FEDF7B05"/>
    <w:rsid w:val="FEDF9A6F"/>
    <w:rsid w:val="FEE30350"/>
    <w:rsid w:val="FEE59E51"/>
    <w:rsid w:val="FEEBD017"/>
    <w:rsid w:val="FEEE8712"/>
    <w:rsid w:val="FEEFECB8"/>
    <w:rsid w:val="FEF11781"/>
    <w:rsid w:val="FEF32D52"/>
    <w:rsid w:val="FEF495C2"/>
    <w:rsid w:val="FEFA1DC9"/>
    <w:rsid w:val="FEFBF235"/>
    <w:rsid w:val="FEFC80E4"/>
    <w:rsid w:val="FEFD7076"/>
    <w:rsid w:val="FEFDACDA"/>
    <w:rsid w:val="FEFE0201"/>
    <w:rsid w:val="FEFE144F"/>
    <w:rsid w:val="FEFF1646"/>
    <w:rsid w:val="FEFF3237"/>
    <w:rsid w:val="FEFF45D9"/>
    <w:rsid w:val="FEFF526E"/>
    <w:rsid w:val="FEFF7906"/>
    <w:rsid w:val="FEFF825B"/>
    <w:rsid w:val="FEFFBDA7"/>
    <w:rsid w:val="FEFFD326"/>
    <w:rsid w:val="FEFFE48A"/>
    <w:rsid w:val="FEFFF762"/>
    <w:rsid w:val="FF07A416"/>
    <w:rsid w:val="FF0D6275"/>
    <w:rsid w:val="FF0FB612"/>
    <w:rsid w:val="FF1468A7"/>
    <w:rsid w:val="FF17EB5F"/>
    <w:rsid w:val="FF1AB21F"/>
    <w:rsid w:val="FF1E8338"/>
    <w:rsid w:val="FF1F7901"/>
    <w:rsid w:val="FF234FBE"/>
    <w:rsid w:val="FF290F54"/>
    <w:rsid w:val="FF2B5525"/>
    <w:rsid w:val="FF3308CF"/>
    <w:rsid w:val="FF35284E"/>
    <w:rsid w:val="FF368398"/>
    <w:rsid w:val="FF380AC9"/>
    <w:rsid w:val="FF3DB455"/>
    <w:rsid w:val="FF3F888D"/>
    <w:rsid w:val="FF41D99C"/>
    <w:rsid w:val="FF47A7A1"/>
    <w:rsid w:val="FF4FE737"/>
    <w:rsid w:val="FF5B697F"/>
    <w:rsid w:val="FF5CCB9A"/>
    <w:rsid w:val="FF608910"/>
    <w:rsid w:val="FF66CE5A"/>
    <w:rsid w:val="FF67DA2E"/>
    <w:rsid w:val="FF6D2BBE"/>
    <w:rsid w:val="FF6F3C5E"/>
    <w:rsid w:val="FF6F7C1D"/>
    <w:rsid w:val="FF706EF5"/>
    <w:rsid w:val="FF71CF83"/>
    <w:rsid w:val="FF71FA5C"/>
    <w:rsid w:val="FF731861"/>
    <w:rsid w:val="FF7481E6"/>
    <w:rsid w:val="FF77965B"/>
    <w:rsid w:val="FF79DA92"/>
    <w:rsid w:val="FF7A7830"/>
    <w:rsid w:val="FF7B1961"/>
    <w:rsid w:val="FF7B51AF"/>
    <w:rsid w:val="FF7D104E"/>
    <w:rsid w:val="FF7DC973"/>
    <w:rsid w:val="FF7E96EC"/>
    <w:rsid w:val="FF7EB781"/>
    <w:rsid w:val="FF7F255E"/>
    <w:rsid w:val="FF7F30CA"/>
    <w:rsid w:val="FF7F74F3"/>
    <w:rsid w:val="FF7F7850"/>
    <w:rsid w:val="FF7F7905"/>
    <w:rsid w:val="FF7F81AE"/>
    <w:rsid w:val="FF7FAD73"/>
    <w:rsid w:val="FF7FD4C4"/>
    <w:rsid w:val="FF7FDBC9"/>
    <w:rsid w:val="FF7FF047"/>
    <w:rsid w:val="FF862C87"/>
    <w:rsid w:val="FF8BEB5A"/>
    <w:rsid w:val="FF8D76A0"/>
    <w:rsid w:val="FF8E4F2A"/>
    <w:rsid w:val="FF8F493B"/>
    <w:rsid w:val="FF8FE3B5"/>
    <w:rsid w:val="FF8FF650"/>
    <w:rsid w:val="FF95BEB5"/>
    <w:rsid w:val="FF96A879"/>
    <w:rsid w:val="FF973B5D"/>
    <w:rsid w:val="FF9E432A"/>
    <w:rsid w:val="FF9F7CFA"/>
    <w:rsid w:val="FF9FD5FC"/>
    <w:rsid w:val="FF9FDFE0"/>
    <w:rsid w:val="FFA94DAA"/>
    <w:rsid w:val="FFA9DCC0"/>
    <w:rsid w:val="FFAB6DF9"/>
    <w:rsid w:val="FFADF685"/>
    <w:rsid w:val="FFAF5BC0"/>
    <w:rsid w:val="FFAFE3CE"/>
    <w:rsid w:val="FFB19B75"/>
    <w:rsid w:val="FFB4A936"/>
    <w:rsid w:val="FFB53A68"/>
    <w:rsid w:val="FFB59B33"/>
    <w:rsid w:val="FFB7084E"/>
    <w:rsid w:val="FFB72A99"/>
    <w:rsid w:val="FFB77F63"/>
    <w:rsid w:val="FFB781D9"/>
    <w:rsid w:val="FFB7D03C"/>
    <w:rsid w:val="FFB7D9E8"/>
    <w:rsid w:val="FFB8035A"/>
    <w:rsid w:val="FFBA1123"/>
    <w:rsid w:val="FFBA8C8B"/>
    <w:rsid w:val="FFBB0D17"/>
    <w:rsid w:val="FFBB1A31"/>
    <w:rsid w:val="FFBB24B6"/>
    <w:rsid w:val="FFBB4606"/>
    <w:rsid w:val="FFBB59AE"/>
    <w:rsid w:val="FFBBD0A8"/>
    <w:rsid w:val="FFBD36C2"/>
    <w:rsid w:val="FFBD7374"/>
    <w:rsid w:val="FFBD83F1"/>
    <w:rsid w:val="FFBE2C77"/>
    <w:rsid w:val="FFBE46C6"/>
    <w:rsid w:val="FFBF24E5"/>
    <w:rsid w:val="FFBF3013"/>
    <w:rsid w:val="FFBF3544"/>
    <w:rsid w:val="FFBF770E"/>
    <w:rsid w:val="FFBF78DD"/>
    <w:rsid w:val="FFBF9570"/>
    <w:rsid w:val="FFBFD049"/>
    <w:rsid w:val="FFBFEA8F"/>
    <w:rsid w:val="FFC78E38"/>
    <w:rsid w:val="FFCDEB5B"/>
    <w:rsid w:val="FFCEEAD9"/>
    <w:rsid w:val="FFD4A438"/>
    <w:rsid w:val="FFD7578A"/>
    <w:rsid w:val="FFD7A1B0"/>
    <w:rsid w:val="FFD7BFAF"/>
    <w:rsid w:val="FFD7E687"/>
    <w:rsid w:val="FFDA433E"/>
    <w:rsid w:val="FFDAB08E"/>
    <w:rsid w:val="FFDAFF2E"/>
    <w:rsid w:val="FFDC7592"/>
    <w:rsid w:val="FFDD24BE"/>
    <w:rsid w:val="FFDE549C"/>
    <w:rsid w:val="FFDE5991"/>
    <w:rsid w:val="FFDEA89A"/>
    <w:rsid w:val="FFDEB221"/>
    <w:rsid w:val="FFDED921"/>
    <w:rsid w:val="FFDF2D3E"/>
    <w:rsid w:val="FFDF70F8"/>
    <w:rsid w:val="FFDFA2A9"/>
    <w:rsid w:val="FFDFA2D0"/>
    <w:rsid w:val="FFDFCB83"/>
    <w:rsid w:val="FFDFD8BD"/>
    <w:rsid w:val="FFDFE9EF"/>
    <w:rsid w:val="FFE6150D"/>
    <w:rsid w:val="FFE7B1EC"/>
    <w:rsid w:val="FFEA12CD"/>
    <w:rsid w:val="FFEB6B67"/>
    <w:rsid w:val="FFEC5670"/>
    <w:rsid w:val="FFED38F1"/>
    <w:rsid w:val="FFED4028"/>
    <w:rsid w:val="FFEE134E"/>
    <w:rsid w:val="FFEED296"/>
    <w:rsid w:val="FFEEF14C"/>
    <w:rsid w:val="FFEF19A2"/>
    <w:rsid w:val="FFEF42B7"/>
    <w:rsid w:val="FFEF7338"/>
    <w:rsid w:val="FFEF9AF1"/>
    <w:rsid w:val="FFEFE921"/>
    <w:rsid w:val="FFEFFB81"/>
    <w:rsid w:val="FFF10406"/>
    <w:rsid w:val="FFF2829F"/>
    <w:rsid w:val="FFF54A55"/>
    <w:rsid w:val="FFF607A4"/>
    <w:rsid w:val="FFF62055"/>
    <w:rsid w:val="FFF70F58"/>
    <w:rsid w:val="FFF7565A"/>
    <w:rsid w:val="FFF767FD"/>
    <w:rsid w:val="FFF76E59"/>
    <w:rsid w:val="FFF7D7AF"/>
    <w:rsid w:val="FFF7E2BE"/>
    <w:rsid w:val="FFF7F6CC"/>
    <w:rsid w:val="FFF96BB3"/>
    <w:rsid w:val="FFFA31DE"/>
    <w:rsid w:val="FFFB4696"/>
    <w:rsid w:val="FFFB6965"/>
    <w:rsid w:val="FFFB77D3"/>
    <w:rsid w:val="FFFB9AAA"/>
    <w:rsid w:val="FFFBCA96"/>
    <w:rsid w:val="FFFD191B"/>
    <w:rsid w:val="FFFD1AF2"/>
    <w:rsid w:val="FFFD2F9D"/>
    <w:rsid w:val="FFFD5086"/>
    <w:rsid w:val="FFFD820A"/>
    <w:rsid w:val="FFFD9EB7"/>
    <w:rsid w:val="FFFDA925"/>
    <w:rsid w:val="FFFDEAE8"/>
    <w:rsid w:val="FFFDF9B1"/>
    <w:rsid w:val="FFFE275E"/>
    <w:rsid w:val="FFFE4C1B"/>
    <w:rsid w:val="FFFE6807"/>
    <w:rsid w:val="FFFEC54B"/>
    <w:rsid w:val="FFFF0578"/>
    <w:rsid w:val="FFFF08EA"/>
    <w:rsid w:val="FFFF09CE"/>
    <w:rsid w:val="FFFF15AC"/>
    <w:rsid w:val="FFFF36F3"/>
    <w:rsid w:val="FFFF47A1"/>
    <w:rsid w:val="FFFF47C5"/>
    <w:rsid w:val="FFFF49B4"/>
    <w:rsid w:val="FFFF4A0C"/>
    <w:rsid w:val="FFFF65EB"/>
    <w:rsid w:val="FFFF77F3"/>
    <w:rsid w:val="FFFF8798"/>
    <w:rsid w:val="FFFF890E"/>
    <w:rsid w:val="FFFF8ABB"/>
    <w:rsid w:val="FFFF8D1B"/>
    <w:rsid w:val="FFFFA86C"/>
    <w:rsid w:val="FFFFBB5D"/>
    <w:rsid w:val="FFFFC47D"/>
    <w:rsid w:val="FFFFC55C"/>
    <w:rsid w:val="FFFFCD71"/>
    <w:rsid w:val="FFFFD908"/>
    <w:rsid w:val="FFFFEF4F"/>
    <w:rsid w:val="FFFFEF7E"/>
    <w:rsid w:val="FFFFF13F"/>
    <w:rsid w:val="FFFFF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99"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qFormat="1" w:unhideWhenUsed="0"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9"/>
    <w:pPr>
      <w:keepNext/>
      <w:keepLines/>
      <w:spacing w:before="260" w:after="260" w:line="416" w:lineRule="auto"/>
      <w:jc w:val="center"/>
      <w:outlineLvl w:val="1"/>
    </w:pPr>
    <w:rPr>
      <w:rFonts w:ascii="Cambria" w:hAnsi="Cambria" w:eastAsia="黑体"/>
      <w:b/>
      <w:bCs/>
      <w:sz w:val="32"/>
      <w:szCs w:val="32"/>
    </w:rPr>
  </w:style>
  <w:style w:type="paragraph" w:styleId="5">
    <w:name w:val="heading 3"/>
    <w:basedOn w:val="1"/>
    <w:next w:val="1"/>
    <w:link w:val="33"/>
    <w:qFormat/>
    <w:uiPriority w:val="9"/>
    <w:pPr>
      <w:keepNext/>
      <w:keepLines/>
      <w:spacing w:before="260" w:after="260" w:line="416" w:lineRule="auto"/>
      <w:jc w:val="center"/>
      <w:outlineLvl w:val="2"/>
    </w:pPr>
    <w:rPr>
      <w:rFonts w:eastAsia="宋体" w:cs="Times New Roman (正文 CS 字体)"/>
      <w:b/>
      <w:bCs/>
      <w:sz w:val="30"/>
      <w:szCs w:val="32"/>
    </w:rPr>
  </w:style>
  <w:style w:type="paragraph" w:styleId="6">
    <w:name w:val="heading 4"/>
    <w:basedOn w:val="1"/>
    <w:next w:val="1"/>
    <w:link w:val="34"/>
    <w:unhideWhenUsed/>
    <w:qFormat/>
    <w:uiPriority w:val="0"/>
    <w:pPr>
      <w:keepNext/>
      <w:keepLines/>
      <w:ind w:firstLine="200" w:firstLineChars="200"/>
      <w:outlineLvl w:val="3"/>
    </w:pPr>
    <w:rPr>
      <w:rFonts w:eastAsia="楷体" w:cs="Times New Roman (标题 CS)" w:asciiTheme="majorHAnsi" w:hAnsiTheme="majorHAnsi"/>
      <w:b/>
      <w:bCs/>
      <w:sz w:val="30"/>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99"/>
    <w:rPr>
      <w:sz w:val="32"/>
      <w:szCs w:val="32"/>
    </w:rPr>
  </w:style>
  <w:style w:type="paragraph" w:styleId="7">
    <w:name w:val="toc 7"/>
    <w:basedOn w:val="1"/>
    <w:next w:val="1"/>
    <w:qFormat/>
    <w:uiPriority w:val="39"/>
    <w:pPr>
      <w:ind w:left="2520" w:leftChars="1200"/>
    </w:pPr>
    <w:rPr>
      <w:rFonts w:ascii="Calibri" w:hAnsi="Calibri" w:eastAsia="宋体"/>
      <w:szCs w:val="22"/>
    </w:rPr>
  </w:style>
  <w:style w:type="paragraph" w:styleId="8">
    <w:name w:val="Document Map"/>
    <w:basedOn w:val="1"/>
    <w:link w:val="35"/>
    <w:qFormat/>
    <w:uiPriority w:val="0"/>
    <w:rPr>
      <w:rFonts w:ascii="宋体" w:eastAsia="宋体"/>
      <w:sz w:val="18"/>
      <w:szCs w:val="18"/>
    </w:rPr>
  </w:style>
  <w:style w:type="paragraph" w:styleId="9">
    <w:name w:val="annotation text"/>
    <w:basedOn w:val="1"/>
    <w:link w:val="36"/>
    <w:qFormat/>
    <w:uiPriority w:val="0"/>
    <w:pPr>
      <w:jc w:val="left"/>
    </w:pPr>
  </w:style>
  <w:style w:type="paragraph" w:styleId="10">
    <w:name w:val="Body Text Indent"/>
    <w:basedOn w:val="1"/>
    <w:link w:val="37"/>
    <w:qFormat/>
    <w:uiPriority w:val="99"/>
    <w:pPr>
      <w:spacing w:after="120"/>
      <w:ind w:left="420" w:leftChars="200"/>
    </w:pPr>
  </w:style>
  <w:style w:type="paragraph" w:styleId="11">
    <w:name w:val="toc 5"/>
    <w:basedOn w:val="1"/>
    <w:next w:val="1"/>
    <w:qFormat/>
    <w:uiPriority w:val="39"/>
    <w:pPr>
      <w:ind w:left="1680" w:leftChars="800"/>
    </w:pPr>
    <w:rPr>
      <w:rFonts w:ascii="Calibri" w:hAnsi="Calibri" w:eastAsia="宋体"/>
      <w:szCs w:val="22"/>
    </w:rPr>
  </w:style>
  <w:style w:type="paragraph" w:styleId="12">
    <w:name w:val="toc 3"/>
    <w:basedOn w:val="1"/>
    <w:next w:val="1"/>
    <w:qFormat/>
    <w:uiPriority w:val="39"/>
    <w:pPr>
      <w:ind w:left="200" w:leftChars="200" w:right="200" w:rightChars="200"/>
    </w:pPr>
    <w:rPr>
      <w:rFonts w:ascii="仿宋" w:eastAsia="仿宋"/>
    </w:rPr>
  </w:style>
  <w:style w:type="paragraph" w:styleId="13">
    <w:name w:val="toc 8"/>
    <w:basedOn w:val="1"/>
    <w:next w:val="1"/>
    <w:qFormat/>
    <w:uiPriority w:val="39"/>
    <w:pPr>
      <w:ind w:left="2940" w:leftChars="1400"/>
    </w:pPr>
    <w:rPr>
      <w:rFonts w:ascii="Calibri" w:hAnsi="Calibri" w:eastAsia="宋体"/>
      <w:szCs w:val="22"/>
    </w:rPr>
  </w:style>
  <w:style w:type="paragraph" w:styleId="14">
    <w:name w:val="Balloon Text"/>
    <w:basedOn w:val="1"/>
    <w:link w:val="38"/>
    <w:qFormat/>
    <w:uiPriority w:val="0"/>
    <w:rPr>
      <w:sz w:val="18"/>
      <w:szCs w:val="18"/>
    </w:rPr>
  </w:style>
  <w:style w:type="paragraph" w:styleId="15">
    <w:name w:val="footer"/>
    <w:basedOn w:val="1"/>
    <w:link w:val="39"/>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rPr>
      <w:rFonts w:ascii="Calibri" w:hAnsi="Calibri" w:eastAsia="仿宋"/>
      <w:szCs w:val="22"/>
    </w:rPr>
  </w:style>
  <w:style w:type="paragraph" w:styleId="18">
    <w:name w:val="toc 4"/>
    <w:basedOn w:val="1"/>
    <w:next w:val="1"/>
    <w:qFormat/>
    <w:uiPriority w:val="39"/>
    <w:pPr>
      <w:ind w:left="400" w:leftChars="400"/>
    </w:pPr>
    <w:rPr>
      <w:rFonts w:ascii="Calibri" w:hAnsi="Calibri" w:eastAsia="仿宋"/>
      <w:szCs w:val="22"/>
    </w:rPr>
  </w:style>
  <w:style w:type="paragraph" w:styleId="19">
    <w:name w:val="toc 6"/>
    <w:basedOn w:val="1"/>
    <w:next w:val="1"/>
    <w:qFormat/>
    <w:uiPriority w:val="39"/>
    <w:pPr>
      <w:ind w:left="2100" w:leftChars="1000"/>
    </w:pPr>
    <w:rPr>
      <w:rFonts w:ascii="Calibri" w:hAnsi="Calibri" w:eastAsia="宋体"/>
      <w:szCs w:val="22"/>
    </w:rPr>
  </w:style>
  <w:style w:type="paragraph" w:styleId="20">
    <w:name w:val="toc 2"/>
    <w:basedOn w:val="1"/>
    <w:next w:val="1"/>
    <w:qFormat/>
    <w:uiPriority w:val="39"/>
    <w:pPr>
      <w:ind w:left="420" w:leftChars="100" w:right="100" w:rightChars="100"/>
    </w:pPr>
    <w:rPr>
      <w:rFonts w:ascii="仿宋" w:eastAsia="仿宋"/>
    </w:rPr>
  </w:style>
  <w:style w:type="paragraph" w:styleId="21">
    <w:name w:val="toc 9"/>
    <w:basedOn w:val="1"/>
    <w:next w:val="1"/>
    <w:qFormat/>
    <w:uiPriority w:val="39"/>
    <w:pPr>
      <w:ind w:left="3360" w:leftChars="1600"/>
    </w:pPr>
    <w:rPr>
      <w:rFonts w:ascii="Calibri" w:hAnsi="Calibri" w:eastAsia="宋体"/>
      <w:szCs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rPr>
  </w:style>
  <w:style w:type="paragraph" w:styleId="23">
    <w:name w:val="Title"/>
    <w:basedOn w:val="1"/>
    <w:next w:val="1"/>
    <w:link w:val="40"/>
    <w:qFormat/>
    <w:uiPriority w:val="99"/>
    <w:pPr>
      <w:spacing w:beforeLines="100" w:afterLines="100"/>
    </w:pPr>
    <w:rPr>
      <w:rFonts w:ascii="Calibri Light" w:hAnsi="Calibri Light" w:cs="Times New Roman"/>
      <w:szCs w:val="32"/>
    </w:rPr>
  </w:style>
  <w:style w:type="paragraph" w:styleId="24">
    <w:name w:val="annotation subject"/>
    <w:basedOn w:val="9"/>
    <w:next w:val="9"/>
    <w:link w:val="41"/>
    <w:qFormat/>
    <w:uiPriority w:val="0"/>
    <w:rPr>
      <w:b/>
      <w:bCs/>
    </w:rPr>
  </w:style>
  <w:style w:type="paragraph" w:styleId="25">
    <w:name w:val="Body Text First Indent 2"/>
    <w:basedOn w:val="10"/>
    <w:next w:val="1"/>
    <w:link w:val="42"/>
    <w:qFormat/>
    <w:uiPriority w:val="99"/>
    <w:pPr>
      <w:ind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Emphasis"/>
    <w:basedOn w:val="28"/>
    <w:qFormat/>
    <w:uiPriority w:val="0"/>
    <w:rPr>
      <w:i/>
    </w:rPr>
  </w:style>
  <w:style w:type="character" w:styleId="31">
    <w:name w:val="Hyperlink"/>
    <w:basedOn w:val="28"/>
    <w:qFormat/>
    <w:uiPriority w:val="99"/>
    <w:rPr>
      <w:color w:val="0000FF"/>
      <w:u w:val="single"/>
    </w:rPr>
  </w:style>
  <w:style w:type="character" w:styleId="32">
    <w:name w:val="annotation reference"/>
    <w:basedOn w:val="28"/>
    <w:qFormat/>
    <w:uiPriority w:val="0"/>
    <w:rPr>
      <w:sz w:val="21"/>
      <w:szCs w:val="21"/>
    </w:rPr>
  </w:style>
  <w:style w:type="character" w:customStyle="1" w:styleId="33">
    <w:name w:val="标题 3 字符"/>
    <w:basedOn w:val="28"/>
    <w:link w:val="5"/>
    <w:qFormat/>
    <w:uiPriority w:val="9"/>
    <w:rPr>
      <w:rFonts w:eastAsia="宋体" w:cs="Times New Roman (正文 CS 字体)"/>
      <w:b/>
      <w:bCs/>
      <w:kern w:val="2"/>
      <w:sz w:val="30"/>
      <w:szCs w:val="32"/>
    </w:rPr>
  </w:style>
  <w:style w:type="character" w:customStyle="1" w:styleId="34">
    <w:name w:val="标题 4 字符"/>
    <w:basedOn w:val="28"/>
    <w:link w:val="6"/>
    <w:qFormat/>
    <w:uiPriority w:val="0"/>
    <w:rPr>
      <w:rFonts w:eastAsia="楷体" w:cs="Times New Roman (标题 CS)" w:asciiTheme="majorHAnsi" w:hAnsiTheme="majorHAnsi"/>
      <w:b/>
      <w:bCs/>
      <w:kern w:val="2"/>
      <w:sz w:val="30"/>
      <w:szCs w:val="28"/>
    </w:rPr>
  </w:style>
  <w:style w:type="character" w:customStyle="1" w:styleId="35">
    <w:name w:val="文档结构图 字符"/>
    <w:basedOn w:val="28"/>
    <w:link w:val="8"/>
    <w:qFormat/>
    <w:uiPriority w:val="0"/>
    <w:rPr>
      <w:rFonts w:ascii="宋体" w:hAnsi="等线" w:cs="宋体"/>
      <w:kern w:val="2"/>
      <w:sz w:val="18"/>
      <w:szCs w:val="18"/>
    </w:rPr>
  </w:style>
  <w:style w:type="character" w:customStyle="1" w:styleId="36">
    <w:name w:val="批注文字 字符"/>
    <w:basedOn w:val="28"/>
    <w:link w:val="9"/>
    <w:qFormat/>
    <w:uiPriority w:val="0"/>
    <w:rPr>
      <w:kern w:val="2"/>
      <w:sz w:val="21"/>
      <w:szCs w:val="24"/>
    </w:rPr>
  </w:style>
  <w:style w:type="character" w:customStyle="1" w:styleId="37">
    <w:name w:val="正文文本缩进 字符"/>
    <w:basedOn w:val="28"/>
    <w:link w:val="10"/>
    <w:qFormat/>
    <w:uiPriority w:val="99"/>
  </w:style>
  <w:style w:type="character" w:customStyle="1" w:styleId="38">
    <w:name w:val="批注框文本 字符"/>
    <w:basedOn w:val="28"/>
    <w:link w:val="14"/>
    <w:qFormat/>
    <w:uiPriority w:val="0"/>
    <w:rPr>
      <w:kern w:val="2"/>
      <w:sz w:val="18"/>
      <w:szCs w:val="18"/>
    </w:rPr>
  </w:style>
  <w:style w:type="character" w:customStyle="1" w:styleId="39">
    <w:name w:val="页脚 字符"/>
    <w:basedOn w:val="28"/>
    <w:link w:val="15"/>
    <w:qFormat/>
    <w:uiPriority w:val="99"/>
    <w:rPr>
      <w:rFonts w:ascii="等线" w:hAnsi="等线" w:eastAsia="等线" w:cs="宋体"/>
      <w:kern w:val="2"/>
      <w:sz w:val="18"/>
      <w:szCs w:val="24"/>
    </w:rPr>
  </w:style>
  <w:style w:type="character" w:customStyle="1" w:styleId="40">
    <w:name w:val="标题 字符"/>
    <w:basedOn w:val="28"/>
    <w:link w:val="23"/>
    <w:qFormat/>
    <w:uiPriority w:val="99"/>
    <w:rPr>
      <w:rFonts w:ascii="Calibri Light" w:hAnsi="Calibri Light" w:eastAsia="等线"/>
      <w:kern w:val="2"/>
      <w:sz w:val="21"/>
      <w:szCs w:val="32"/>
    </w:rPr>
  </w:style>
  <w:style w:type="character" w:customStyle="1" w:styleId="41">
    <w:name w:val="批注主题 字符"/>
    <w:basedOn w:val="36"/>
    <w:link w:val="24"/>
    <w:qFormat/>
    <w:uiPriority w:val="0"/>
    <w:rPr>
      <w:b/>
      <w:bCs/>
      <w:kern w:val="2"/>
      <w:sz w:val="21"/>
      <w:szCs w:val="24"/>
    </w:rPr>
  </w:style>
  <w:style w:type="character" w:customStyle="1" w:styleId="42">
    <w:name w:val="正文文本首行缩进 2 字符"/>
    <w:basedOn w:val="37"/>
    <w:link w:val="25"/>
    <w:qFormat/>
    <w:uiPriority w:val="99"/>
  </w:style>
  <w:style w:type="paragraph" w:customStyle="1" w:styleId="43">
    <w:name w:val="WPSOffice手动目录 2"/>
    <w:qFormat/>
    <w:uiPriority w:val="0"/>
    <w:pPr>
      <w:ind w:left="200" w:leftChars="200"/>
    </w:pPr>
    <w:rPr>
      <w:rFonts w:ascii="等线" w:hAnsi="等线" w:eastAsia="等线" w:cs="宋体"/>
      <w:lang w:val="en-US" w:eastAsia="zh-CN" w:bidi="ar-SA"/>
    </w:rPr>
  </w:style>
  <w:style w:type="paragraph" w:customStyle="1" w:styleId="44">
    <w:name w:val="WPSOffice手动目录 3"/>
    <w:qFormat/>
    <w:uiPriority w:val="0"/>
    <w:pPr>
      <w:ind w:left="400" w:leftChars="400"/>
    </w:pPr>
    <w:rPr>
      <w:rFonts w:ascii="等线" w:hAnsi="等线" w:eastAsia="等线" w:cs="宋体"/>
      <w:lang w:val="en-US" w:eastAsia="zh-CN" w:bidi="ar-SA"/>
    </w:rPr>
  </w:style>
  <w:style w:type="paragraph" w:customStyle="1" w:styleId="45">
    <w:name w:val="列出段落1"/>
    <w:basedOn w:val="1"/>
    <w:qFormat/>
    <w:uiPriority w:val="34"/>
    <w:pPr>
      <w:ind w:firstLine="420" w:firstLineChars="200"/>
    </w:pPr>
  </w:style>
  <w:style w:type="character" w:customStyle="1" w:styleId="46">
    <w:name w:val="未处理的提及1"/>
    <w:basedOn w:val="28"/>
    <w:unhideWhenUsed/>
    <w:qFormat/>
    <w:uiPriority w:val="99"/>
    <w:rPr>
      <w:color w:val="605E5C"/>
      <w:shd w:val="clear" w:color="auto" w:fill="E1DFDD"/>
    </w:rPr>
  </w:style>
  <w:style w:type="paragraph" w:customStyle="1" w:styleId="47">
    <w:name w:val="WPSOffice手动目录 1"/>
    <w:qFormat/>
    <w:uiPriority w:val="0"/>
    <w:rPr>
      <w:rFonts w:ascii="Times New Roman" w:hAnsi="Times New Roman" w:eastAsia="宋体" w:cs="Times New Roman"/>
      <w:lang w:val="en-US" w:eastAsia="zh-CN" w:bidi="ar-SA"/>
    </w:rPr>
  </w:style>
  <w:style w:type="character" w:customStyle="1" w:styleId="48">
    <w:name w:val="fontstyle01"/>
    <w:basedOn w:val="28"/>
    <w:qFormat/>
    <w:uiPriority w:val="0"/>
    <w:rPr>
      <w:rFonts w:hint="default" w:ascii="仿宋" w:hAnsi="仿宋"/>
      <w:color w:val="000000"/>
      <w:sz w:val="32"/>
      <w:szCs w:val="32"/>
    </w:rPr>
  </w:style>
  <w:style w:type="paragraph" w:customStyle="1" w:styleId="4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character" w:customStyle="1" w:styleId="50">
    <w:name w:val="未处理的提及2"/>
    <w:basedOn w:val="28"/>
    <w:semiHidden/>
    <w:unhideWhenUsed/>
    <w:qFormat/>
    <w:uiPriority w:val="99"/>
    <w:rPr>
      <w:color w:val="605E5C"/>
      <w:shd w:val="clear" w:color="auto" w:fill="E1DFDD"/>
    </w:rPr>
  </w:style>
  <w:style w:type="paragraph" w:customStyle="1" w:styleId="51">
    <w:name w:val="TOC 标题2"/>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styleId="52">
    <w:name w:val="List Paragraph"/>
    <w:basedOn w:val="1"/>
    <w:qFormat/>
    <w:uiPriority w:val="99"/>
    <w:pPr>
      <w:ind w:firstLine="420" w:firstLineChars="200"/>
    </w:pPr>
  </w:style>
  <w:style w:type="paragraph" w:customStyle="1" w:styleId="53">
    <w:name w:val="修订1"/>
    <w:hidden/>
    <w:semiHidden/>
    <w:qFormat/>
    <w:uiPriority w:val="99"/>
    <w:rPr>
      <w:rFonts w:ascii="等线" w:hAnsi="等线" w:eastAsia="等线" w:cs="宋体"/>
      <w:kern w:val="2"/>
      <w:sz w:val="21"/>
      <w:szCs w:val="24"/>
      <w:lang w:val="en-US" w:eastAsia="zh-CN" w:bidi="ar-SA"/>
    </w:rPr>
  </w:style>
  <w:style w:type="character" w:customStyle="1" w:styleId="54">
    <w:name w:val="未处理的提及3"/>
    <w:basedOn w:val="28"/>
    <w:semiHidden/>
    <w:unhideWhenUsed/>
    <w:qFormat/>
    <w:uiPriority w:val="99"/>
    <w:rPr>
      <w:color w:val="605E5C"/>
      <w:shd w:val="clear" w:color="auto" w:fill="E1DFDD"/>
    </w:rPr>
  </w:style>
  <w:style w:type="paragraph" w:customStyle="1" w:styleId="55">
    <w:name w:val="修订2"/>
    <w:hidden/>
    <w:semiHidden/>
    <w:qFormat/>
    <w:uiPriority w:val="99"/>
    <w:rPr>
      <w:rFonts w:ascii="等线" w:hAnsi="等线" w:eastAsia="等线" w:cs="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4078201-c3b5-44c8-ac97-9206c593e9f6}"/>
        <w:style w:val=""/>
        <w:category>
          <w:name w:val="常规"/>
          <w:gallery w:val="placeholder"/>
        </w:category>
        <w:types>
          <w:type w:val="bbPlcHdr"/>
        </w:types>
        <w:behaviors>
          <w:behavior w:val="content"/>
        </w:behaviors>
        <w:description w:val=""/>
        <w:guid w:val="{44078201-c3b5-44c8-ac97-9206c593e9f6}"/>
      </w:docPartPr>
      <w:docPartBody>
        <w:p w14:paraId="159E470A">
          <w:r>
            <w:rPr>
              <w:color w:val="808080"/>
            </w:rPr>
            <w:t>单击此处输入文字。</w:t>
          </w:r>
        </w:p>
      </w:docPartBody>
    </w:docPart>
    <w:docPart>
      <w:docPartPr>
        <w:name w:val="{77b10b90-ff35-456f-a258-953a1b93bd78}"/>
        <w:style w:val=""/>
        <w:category>
          <w:name w:val="常规"/>
          <w:gallery w:val="placeholder"/>
        </w:category>
        <w:types>
          <w:type w:val="bbPlcHdr"/>
        </w:types>
        <w:behaviors>
          <w:behavior w:val="content"/>
        </w:behaviors>
        <w:description w:val=""/>
        <w:guid w:val="{77b10b90-ff35-456f-a258-953a1b93bd78}"/>
      </w:docPartPr>
      <w:docPartBody>
        <w:p w14:paraId="10B2D27A">
          <w:r>
            <w:rPr>
              <w:color w:val="808080"/>
            </w:rPr>
            <w:t>单击此处输入文字。</w:t>
          </w:r>
        </w:p>
      </w:docPartBody>
    </w:docPart>
    <w:docPart>
      <w:docPartPr>
        <w:name w:val="{402d8ef3-1d03-418b-a5a4-95dd3050e0a5}"/>
        <w:style w:val=""/>
        <w:category>
          <w:name w:val="常规"/>
          <w:gallery w:val="placeholder"/>
        </w:category>
        <w:types>
          <w:type w:val="bbPlcHdr"/>
        </w:types>
        <w:behaviors>
          <w:behavior w:val="content"/>
        </w:behaviors>
        <w:description w:val=""/>
        <w:guid w:val="{402d8ef3-1d03-418b-a5a4-95dd3050e0a5}"/>
      </w:docPartPr>
      <w:docPartBody>
        <w:p w14:paraId="5B9EAAB3">
          <w:r>
            <w:rPr>
              <w:color w:val="808080"/>
            </w:rPr>
            <w:t>单击此处输入文字。</w:t>
          </w:r>
        </w:p>
      </w:docPartBody>
    </w:docPart>
    <w:docPart>
      <w:docPartPr>
        <w:name w:val="{ef0dc8b2-ff06-4e28-b252-adf3ede7eff5}"/>
        <w:style w:val=""/>
        <w:category>
          <w:name w:val="常规"/>
          <w:gallery w:val="placeholder"/>
        </w:category>
        <w:types>
          <w:type w:val="bbPlcHdr"/>
        </w:types>
        <w:behaviors>
          <w:behavior w:val="content"/>
        </w:behaviors>
        <w:description w:val=""/>
        <w:guid w:val="{ef0dc8b2-ff06-4e28-b252-adf3ede7eff5}"/>
      </w:docPartPr>
      <w:docPartBody>
        <w:p w14:paraId="4A44852B">
          <w:r>
            <w:rPr>
              <w:color w:val="808080"/>
            </w:rPr>
            <w:t>单击此处输入文字。</w:t>
          </w:r>
        </w:p>
      </w:docPartBody>
    </w:docPart>
    <w:docPart>
      <w:docPartPr>
        <w:name w:val="{ecd0c986-df02-467c-852e-76f1475317d8}"/>
        <w:style w:val=""/>
        <w:category>
          <w:name w:val="常规"/>
          <w:gallery w:val="placeholder"/>
        </w:category>
        <w:types>
          <w:type w:val="bbPlcHdr"/>
        </w:types>
        <w:behaviors>
          <w:behavior w:val="content"/>
        </w:behaviors>
        <w:description w:val=""/>
        <w:guid w:val="{ecd0c986-df02-467c-852e-76f1475317d8}"/>
      </w:docPartPr>
      <w:docPartBody>
        <w:p w14:paraId="53FEEDC6">
          <w:r>
            <w:rPr>
              <w:color w:val="808080"/>
            </w:rPr>
            <w:t>单击此处输入文字。</w:t>
          </w:r>
        </w:p>
      </w:docPartBody>
    </w:docPart>
    <w:docPart>
      <w:docPartPr>
        <w:name w:val="{150df830-af07-43ea-91db-2f3a84a6249f}"/>
        <w:style w:val=""/>
        <w:category>
          <w:name w:val="常规"/>
          <w:gallery w:val="placeholder"/>
        </w:category>
        <w:types>
          <w:type w:val="bbPlcHdr"/>
        </w:types>
        <w:behaviors>
          <w:behavior w:val="content"/>
        </w:behaviors>
        <w:description w:val=""/>
        <w:guid w:val="{150df830-af07-43ea-91db-2f3a84a6249f}"/>
      </w:docPartPr>
      <w:docPartBody>
        <w:p w14:paraId="0F7437B3">
          <w:r>
            <w:rPr>
              <w:color w:val="808080"/>
            </w:rPr>
            <w:t>单击此处输入文字。</w:t>
          </w:r>
        </w:p>
      </w:docPartBody>
    </w:docPart>
    <w:docPart>
      <w:docPartPr>
        <w:name w:val="{8293f966-f653-498c-af5e-bf3617234f8e}"/>
        <w:style w:val=""/>
        <w:category>
          <w:name w:val="常规"/>
          <w:gallery w:val="placeholder"/>
        </w:category>
        <w:types>
          <w:type w:val="bbPlcHdr"/>
        </w:types>
        <w:behaviors>
          <w:behavior w:val="content"/>
        </w:behaviors>
        <w:description w:val=""/>
        <w:guid w:val="{8293f966-f653-498c-af5e-bf3617234f8e}"/>
      </w:docPartPr>
      <w:docPartBody>
        <w:p w14:paraId="38D108E1">
          <w:r>
            <w:rPr>
              <w:color w:val="808080"/>
            </w:rPr>
            <w:t>单击此处输入文字。</w:t>
          </w:r>
        </w:p>
      </w:docPartBody>
    </w:docPart>
    <w:docPart>
      <w:docPartPr>
        <w:name w:val="{bfbcb910-e671-450a-a3c1-1127d0ed241d}"/>
        <w:style w:val=""/>
        <w:category>
          <w:name w:val="常规"/>
          <w:gallery w:val="placeholder"/>
        </w:category>
        <w:types>
          <w:type w:val="bbPlcHdr"/>
        </w:types>
        <w:behaviors>
          <w:behavior w:val="content"/>
        </w:behaviors>
        <w:description w:val=""/>
        <w:guid w:val="{bfbcb910-e671-450a-a3c1-1127d0ed241d}"/>
      </w:docPartPr>
      <w:docPartBody>
        <w:p w14:paraId="27D15D34">
          <w:r>
            <w:rPr>
              <w:color w:val="808080"/>
            </w:rPr>
            <w:t>单击此处输入文字。</w:t>
          </w:r>
        </w:p>
      </w:docPartBody>
    </w:docPart>
    <w:docPart>
      <w:docPartPr>
        <w:name w:val="{3e4ae584-1145-407b-b0ac-99f34b7b5302}"/>
        <w:style w:val=""/>
        <w:category>
          <w:name w:val="常规"/>
          <w:gallery w:val="placeholder"/>
        </w:category>
        <w:types>
          <w:type w:val="bbPlcHdr"/>
        </w:types>
        <w:behaviors>
          <w:behavior w:val="content"/>
        </w:behaviors>
        <w:description w:val=""/>
        <w:guid w:val="{3e4ae584-1145-407b-b0ac-99f34b7b5302}"/>
      </w:docPartPr>
      <w:docPartBody>
        <w:p w14:paraId="70FF9B7D">
          <w:r>
            <w:rPr>
              <w:color w:val="808080"/>
            </w:rPr>
            <w:t>单击此处输入文字。</w:t>
          </w:r>
        </w:p>
      </w:docPartBody>
    </w:docPart>
    <w:docPart>
      <w:docPartPr>
        <w:name w:val="{c732f51c-097a-42bb-b808-223d7bb39b32}"/>
        <w:style w:val=""/>
        <w:category>
          <w:name w:val="常规"/>
          <w:gallery w:val="placeholder"/>
        </w:category>
        <w:types>
          <w:type w:val="bbPlcHdr"/>
        </w:types>
        <w:behaviors>
          <w:behavior w:val="content"/>
        </w:behaviors>
        <w:description w:val=""/>
        <w:guid w:val="{c732f51c-097a-42bb-b808-223d7bb39b32}"/>
      </w:docPartPr>
      <w:docPartBody>
        <w:p w14:paraId="20312D20">
          <w:r>
            <w:rPr>
              <w:color w:val="808080"/>
            </w:rPr>
            <w:t>单击此处输入文字。</w:t>
          </w:r>
        </w:p>
      </w:docPartBody>
    </w:docPart>
    <w:docPart>
      <w:docPartPr>
        <w:name w:val="{02671a95-e925-4cf1-a0ba-b1bd4d3fc10b}"/>
        <w:style w:val=""/>
        <w:category>
          <w:name w:val="常规"/>
          <w:gallery w:val="placeholder"/>
        </w:category>
        <w:types>
          <w:type w:val="bbPlcHdr"/>
        </w:types>
        <w:behaviors>
          <w:behavior w:val="content"/>
        </w:behaviors>
        <w:description w:val=""/>
        <w:guid w:val="{02671a95-e925-4cf1-a0ba-b1bd4d3fc10b}"/>
      </w:docPartPr>
      <w:docPartBody>
        <w:p w14:paraId="0238A32D">
          <w:r>
            <w:rPr>
              <w:color w:val="808080"/>
            </w:rPr>
            <w:t>单击此处输入文字。</w:t>
          </w:r>
        </w:p>
      </w:docPartBody>
    </w:docPart>
    <w:docPart>
      <w:docPartPr>
        <w:name w:val="{d4d40a97-3a87-4756-be25-3916798a094f}"/>
        <w:style w:val=""/>
        <w:category>
          <w:name w:val="常规"/>
          <w:gallery w:val="placeholder"/>
        </w:category>
        <w:types>
          <w:type w:val="bbPlcHdr"/>
        </w:types>
        <w:behaviors>
          <w:behavior w:val="content"/>
        </w:behaviors>
        <w:description w:val=""/>
        <w:guid w:val="{d4d40a97-3a87-4756-be25-3916798a094f}"/>
      </w:docPartPr>
      <w:docPartBody>
        <w:p w14:paraId="6DD66E8E">
          <w:r>
            <w:rPr>
              <w:color w:val="808080"/>
            </w:rPr>
            <w:t>单击此处输入文字。</w:t>
          </w:r>
        </w:p>
      </w:docPartBody>
    </w:docPart>
    <w:docPart>
      <w:docPartPr>
        <w:name w:val="{8acc5462-bdda-42b9-9192-964a05589a97}"/>
        <w:style w:val=""/>
        <w:category>
          <w:name w:val="常规"/>
          <w:gallery w:val="placeholder"/>
        </w:category>
        <w:types>
          <w:type w:val="bbPlcHdr"/>
        </w:types>
        <w:behaviors>
          <w:behavior w:val="content"/>
        </w:behaviors>
        <w:description w:val=""/>
        <w:guid w:val="{8acc5462-bdda-42b9-9192-964a05589a97}"/>
      </w:docPartPr>
      <w:docPartBody>
        <w:p w14:paraId="409319CD">
          <w:r>
            <w:rPr>
              <w:color w:val="808080"/>
            </w:rPr>
            <w:t>单击此处输入文字。</w:t>
          </w:r>
        </w:p>
      </w:docPartBody>
    </w:docPart>
    <w:docPart>
      <w:docPartPr>
        <w:name w:val="{92816bf4-7c4b-45f3-9906-75cef37ccdbb}"/>
        <w:style w:val=""/>
        <w:category>
          <w:name w:val="常规"/>
          <w:gallery w:val="placeholder"/>
        </w:category>
        <w:types>
          <w:type w:val="bbPlcHdr"/>
        </w:types>
        <w:behaviors>
          <w:behavior w:val="content"/>
        </w:behaviors>
        <w:description w:val=""/>
        <w:guid w:val="{92816bf4-7c4b-45f3-9906-75cef37ccdbb}"/>
      </w:docPartPr>
      <w:docPartBody>
        <w:p w14:paraId="466A5C33">
          <w:r>
            <w:rPr>
              <w:color w:val="808080"/>
            </w:rPr>
            <w:t>单击此处输入文字。</w:t>
          </w:r>
        </w:p>
      </w:docPartBody>
    </w:docPart>
    <w:docPart>
      <w:docPartPr>
        <w:name w:val="{a39a60d4-a293-4865-a204-f6c4c6973bb2}"/>
        <w:style w:val=""/>
        <w:category>
          <w:name w:val="常规"/>
          <w:gallery w:val="placeholder"/>
        </w:category>
        <w:types>
          <w:type w:val="bbPlcHdr"/>
        </w:types>
        <w:behaviors>
          <w:behavior w:val="content"/>
        </w:behaviors>
        <w:description w:val=""/>
        <w:guid w:val="{a39a60d4-a293-4865-a204-f6c4c6973bb2}"/>
      </w:docPartPr>
      <w:docPartBody>
        <w:p w14:paraId="1446EF5F">
          <w:r>
            <w:rPr>
              <w:color w:val="808080"/>
            </w:rPr>
            <w:t>单击此处输入文字。</w:t>
          </w:r>
        </w:p>
      </w:docPartBody>
    </w:docPart>
    <w:docPart>
      <w:docPartPr>
        <w:name w:val="{adf47556-a381-460a-a1d3-1c15998d318b}"/>
        <w:style w:val=""/>
        <w:category>
          <w:name w:val="常规"/>
          <w:gallery w:val="placeholder"/>
        </w:category>
        <w:types>
          <w:type w:val="bbPlcHdr"/>
        </w:types>
        <w:behaviors>
          <w:behavior w:val="content"/>
        </w:behaviors>
        <w:description w:val=""/>
        <w:guid w:val="{adf47556-a381-460a-a1d3-1c15998d318b}"/>
      </w:docPartPr>
      <w:docPartBody>
        <w:p w14:paraId="6746F8CD">
          <w:r>
            <w:rPr>
              <w:color w:val="808080"/>
            </w:rPr>
            <w:t>单击此处输入文字。</w:t>
          </w:r>
        </w:p>
      </w:docPartBody>
    </w:docPart>
    <w:docPart>
      <w:docPartPr>
        <w:name w:val="{62967227-a27e-40c8-83e8-f16640266b2e}"/>
        <w:style w:val=""/>
        <w:category>
          <w:name w:val="常规"/>
          <w:gallery w:val="placeholder"/>
        </w:category>
        <w:types>
          <w:type w:val="bbPlcHdr"/>
        </w:types>
        <w:behaviors>
          <w:behavior w:val="content"/>
        </w:behaviors>
        <w:description w:val=""/>
        <w:guid w:val="{62967227-a27e-40c8-83e8-f16640266b2e}"/>
      </w:docPartPr>
      <w:docPartBody>
        <w:p w14:paraId="6D15C65F">
          <w:r>
            <w:rPr>
              <w:color w:val="808080"/>
            </w:rPr>
            <w:t>单击此处输入文字。</w:t>
          </w:r>
        </w:p>
      </w:docPartBody>
    </w:docPart>
    <w:docPart>
      <w:docPartPr>
        <w:name w:val="{e236c5ac-d724-4518-a436-43a97523126e}"/>
        <w:style w:val=""/>
        <w:category>
          <w:name w:val="常规"/>
          <w:gallery w:val="placeholder"/>
        </w:category>
        <w:types>
          <w:type w:val="bbPlcHdr"/>
        </w:types>
        <w:behaviors>
          <w:behavior w:val="content"/>
        </w:behaviors>
        <w:description w:val=""/>
        <w:guid w:val="{e236c5ac-d724-4518-a436-43a97523126e}"/>
      </w:docPartPr>
      <w:docPartBody>
        <w:p w14:paraId="373FC8B0">
          <w:r>
            <w:rPr>
              <w:color w:val="808080"/>
            </w:rPr>
            <w:t>单击此处输入文字。</w:t>
          </w:r>
        </w:p>
      </w:docPartBody>
    </w:docPart>
    <w:docPart>
      <w:docPartPr>
        <w:name w:val="{fda8cd7a-401c-49df-ba05-750bf4ada8db}"/>
        <w:style w:val=""/>
        <w:category>
          <w:name w:val="常规"/>
          <w:gallery w:val="placeholder"/>
        </w:category>
        <w:types>
          <w:type w:val="bbPlcHdr"/>
        </w:types>
        <w:behaviors>
          <w:behavior w:val="content"/>
        </w:behaviors>
        <w:description w:val=""/>
        <w:guid w:val="{fda8cd7a-401c-49df-ba05-750bf4ada8db}"/>
      </w:docPartPr>
      <w:docPartBody>
        <w:p w14:paraId="7F084D4D">
          <w:r>
            <w:rPr>
              <w:color w:val="808080"/>
            </w:rPr>
            <w:t>单击此处输入文字。</w:t>
          </w:r>
        </w:p>
      </w:docPartBody>
    </w:docPart>
    <w:docPart>
      <w:docPartPr>
        <w:name w:val="{da30d7ce-83ca-4caf-8ade-c3d3d5de8afe}"/>
        <w:style w:val=""/>
        <w:category>
          <w:name w:val="常规"/>
          <w:gallery w:val="placeholder"/>
        </w:category>
        <w:types>
          <w:type w:val="bbPlcHdr"/>
        </w:types>
        <w:behaviors>
          <w:behavior w:val="content"/>
        </w:behaviors>
        <w:description w:val=""/>
        <w:guid w:val="{da30d7ce-83ca-4caf-8ade-c3d3d5de8afe}"/>
      </w:docPartPr>
      <w:docPartBody>
        <w:p w14:paraId="4DB77B3B">
          <w:r>
            <w:rPr>
              <w:color w:val="808080"/>
            </w:rPr>
            <w:t>单击此处输入文字。</w:t>
          </w:r>
        </w:p>
      </w:docPartBody>
    </w:docPart>
    <w:docPart>
      <w:docPartPr>
        <w:name w:val="{0d79452a-4e50-4190-aa91-363727d11321}"/>
        <w:style w:val=""/>
        <w:category>
          <w:name w:val="常规"/>
          <w:gallery w:val="placeholder"/>
        </w:category>
        <w:types>
          <w:type w:val="bbPlcHdr"/>
        </w:types>
        <w:behaviors>
          <w:behavior w:val="content"/>
        </w:behaviors>
        <w:description w:val=""/>
        <w:guid w:val="{0d79452a-4e50-4190-aa91-363727d11321}"/>
      </w:docPartPr>
      <w:docPartBody>
        <w:p w14:paraId="4AAA7553">
          <w:r>
            <w:rPr>
              <w:color w:val="808080"/>
            </w:rPr>
            <w:t>单击此处输入文字。</w:t>
          </w:r>
        </w:p>
      </w:docPartBody>
    </w:docPart>
    <w:docPart>
      <w:docPartPr>
        <w:name w:val="{c5984c0b-6ea7-41be-8304-dac904641be6}"/>
        <w:style w:val=""/>
        <w:category>
          <w:name w:val="常规"/>
          <w:gallery w:val="placeholder"/>
        </w:category>
        <w:types>
          <w:type w:val="bbPlcHdr"/>
        </w:types>
        <w:behaviors>
          <w:behavior w:val="content"/>
        </w:behaviors>
        <w:description w:val=""/>
        <w:guid w:val="{c5984c0b-6ea7-41be-8304-dac904641be6}"/>
      </w:docPartPr>
      <w:docPartBody>
        <w:p w14:paraId="4ECCD8A4">
          <w:r>
            <w:rPr>
              <w:color w:val="808080"/>
            </w:rPr>
            <w:t>单击此处输入文字。</w:t>
          </w:r>
        </w:p>
      </w:docPartBody>
    </w:docPart>
    <w:docPart>
      <w:docPartPr>
        <w:name w:val="{2a7d2a54-f57a-4f98-a722-44eea55ffe3e}"/>
        <w:style w:val=""/>
        <w:category>
          <w:name w:val="常规"/>
          <w:gallery w:val="placeholder"/>
        </w:category>
        <w:types>
          <w:type w:val="bbPlcHdr"/>
        </w:types>
        <w:behaviors>
          <w:behavior w:val="content"/>
        </w:behaviors>
        <w:description w:val=""/>
        <w:guid w:val="{2a7d2a54-f57a-4f98-a722-44eea55ffe3e}"/>
      </w:docPartPr>
      <w:docPartBody>
        <w:p w14:paraId="009FEDAB">
          <w:r>
            <w:rPr>
              <w:color w:val="808080"/>
            </w:rPr>
            <w:t>单击此处输入文字。</w:t>
          </w:r>
        </w:p>
      </w:docPartBody>
    </w:docPart>
    <w:docPart>
      <w:docPartPr>
        <w:name w:val="{e6e79112-70d7-407c-88ee-17c05900dccb}"/>
        <w:style w:val=""/>
        <w:category>
          <w:name w:val="常规"/>
          <w:gallery w:val="placeholder"/>
        </w:category>
        <w:types>
          <w:type w:val="bbPlcHdr"/>
        </w:types>
        <w:behaviors>
          <w:behavior w:val="content"/>
        </w:behaviors>
        <w:description w:val=""/>
        <w:guid w:val="{e6e79112-70d7-407c-88ee-17c05900dccb}"/>
      </w:docPartPr>
      <w:docPartBody>
        <w:p w14:paraId="49C433F9">
          <w:r>
            <w:rPr>
              <w:color w:val="808080"/>
            </w:rPr>
            <w:t>单击此处输入文字。</w:t>
          </w:r>
        </w:p>
      </w:docPartBody>
    </w:docPart>
    <w:docPart>
      <w:docPartPr>
        <w:name w:val="{39c6b829-e7ff-4757-9ab9-be2eeef169bb}"/>
        <w:style w:val=""/>
        <w:category>
          <w:name w:val="常规"/>
          <w:gallery w:val="placeholder"/>
        </w:category>
        <w:types>
          <w:type w:val="bbPlcHdr"/>
        </w:types>
        <w:behaviors>
          <w:behavior w:val="content"/>
        </w:behaviors>
        <w:description w:val=""/>
        <w:guid w:val="{39c6b829-e7ff-4757-9ab9-be2eeef169bb}"/>
      </w:docPartPr>
      <w:docPartBody>
        <w:p w14:paraId="3EF0D124">
          <w:r>
            <w:rPr>
              <w:color w:val="808080"/>
            </w:rPr>
            <w:t>单击此处输入文字。</w:t>
          </w:r>
        </w:p>
      </w:docPartBody>
    </w:docPart>
    <w:docPart>
      <w:docPartPr>
        <w:name w:val="{6b7228c2-e7d0-434f-bceb-8be26b3bed2e}"/>
        <w:style w:val=""/>
        <w:category>
          <w:name w:val="常规"/>
          <w:gallery w:val="placeholder"/>
        </w:category>
        <w:types>
          <w:type w:val="bbPlcHdr"/>
        </w:types>
        <w:behaviors>
          <w:behavior w:val="content"/>
        </w:behaviors>
        <w:description w:val=""/>
        <w:guid w:val="{6b7228c2-e7d0-434f-bceb-8be26b3bed2e}"/>
      </w:docPartPr>
      <w:docPartBody>
        <w:p w14:paraId="3CBD52DA">
          <w:r>
            <w:rPr>
              <w:color w:val="808080"/>
            </w:rPr>
            <w:t>单击此处输入文字。</w:t>
          </w:r>
        </w:p>
      </w:docPartBody>
    </w:docPart>
    <w:docPart>
      <w:docPartPr>
        <w:name w:val="{76aaa111-28f3-451f-b414-b9f0894ae276}"/>
        <w:style w:val=""/>
        <w:category>
          <w:name w:val="常规"/>
          <w:gallery w:val="placeholder"/>
        </w:category>
        <w:types>
          <w:type w:val="bbPlcHdr"/>
        </w:types>
        <w:behaviors>
          <w:behavior w:val="content"/>
        </w:behaviors>
        <w:description w:val=""/>
        <w:guid w:val="{76aaa111-28f3-451f-b414-b9f0894ae276}"/>
      </w:docPartPr>
      <w:docPartBody>
        <w:p w14:paraId="38BA6740">
          <w:r>
            <w:rPr>
              <w:color w:val="808080"/>
            </w:rPr>
            <w:t>单击此处输入文字。</w:t>
          </w:r>
        </w:p>
      </w:docPartBody>
    </w:docPart>
    <w:docPart>
      <w:docPartPr>
        <w:name w:val="{39416ccd-6c09-43c2-91d8-869eaea396d6}"/>
        <w:style w:val=""/>
        <w:category>
          <w:name w:val="常规"/>
          <w:gallery w:val="placeholder"/>
        </w:category>
        <w:types>
          <w:type w:val="bbPlcHdr"/>
        </w:types>
        <w:behaviors>
          <w:behavior w:val="content"/>
        </w:behaviors>
        <w:description w:val=""/>
        <w:guid w:val="{39416ccd-6c09-43c2-91d8-869eaea396d6}"/>
      </w:docPartPr>
      <w:docPartBody>
        <w:p w14:paraId="1FB5DB07">
          <w:r>
            <w:rPr>
              <w:color w:val="808080"/>
            </w:rPr>
            <w:t>单击此处输入文字。</w:t>
          </w:r>
        </w:p>
      </w:docPartBody>
    </w:docPart>
    <w:docPart>
      <w:docPartPr>
        <w:name w:val="{a84d65fb-ca37-45f4-a884-c794803be395}"/>
        <w:style w:val=""/>
        <w:category>
          <w:name w:val="常规"/>
          <w:gallery w:val="placeholder"/>
        </w:category>
        <w:types>
          <w:type w:val="bbPlcHdr"/>
        </w:types>
        <w:behaviors>
          <w:behavior w:val="content"/>
        </w:behaviors>
        <w:description w:val=""/>
        <w:guid w:val="{a84d65fb-ca37-45f4-a884-c794803be395}"/>
      </w:docPartPr>
      <w:docPartBody>
        <w:p w14:paraId="705943B6">
          <w:r>
            <w:rPr>
              <w:color w:val="808080"/>
            </w:rPr>
            <w:t>单击此处输入文字。</w:t>
          </w:r>
        </w:p>
      </w:docPartBody>
    </w:docPart>
    <w:docPart>
      <w:docPartPr>
        <w:name w:val="{3e3a0d7e-7bca-4fcc-a5de-cb5b2ce4e378}"/>
        <w:style w:val=""/>
        <w:category>
          <w:name w:val="常规"/>
          <w:gallery w:val="placeholder"/>
        </w:category>
        <w:types>
          <w:type w:val="bbPlcHdr"/>
        </w:types>
        <w:behaviors>
          <w:behavior w:val="content"/>
        </w:behaviors>
        <w:description w:val=""/>
        <w:guid w:val="{3e3a0d7e-7bca-4fcc-a5de-cb5b2ce4e378}"/>
      </w:docPartPr>
      <w:docPartBody>
        <w:p w14:paraId="303BB322">
          <w:r>
            <w:rPr>
              <w:color w:val="808080"/>
            </w:rPr>
            <w:t>单击此处输入文字。</w:t>
          </w:r>
        </w:p>
      </w:docPartBody>
    </w:docPart>
    <w:docPart>
      <w:docPartPr>
        <w:name w:val="{a14400e6-613a-476c-bb82-a9bb7dfcd43c}"/>
        <w:style w:val=""/>
        <w:category>
          <w:name w:val="常规"/>
          <w:gallery w:val="placeholder"/>
        </w:category>
        <w:types>
          <w:type w:val="bbPlcHdr"/>
        </w:types>
        <w:behaviors>
          <w:behavior w:val="content"/>
        </w:behaviors>
        <w:description w:val=""/>
        <w:guid w:val="{a14400e6-613a-476c-bb82-a9bb7dfcd43c}"/>
      </w:docPartPr>
      <w:docPartBody>
        <w:p w14:paraId="56E5A3C4">
          <w:r>
            <w:rPr>
              <w:color w:val="808080"/>
            </w:rPr>
            <w:t>单击此处输入文字。</w:t>
          </w:r>
        </w:p>
      </w:docPartBody>
    </w:docPart>
    <w:docPart>
      <w:docPartPr>
        <w:name w:val="{30164f50-162d-494b-a316-b19c6ac12390}"/>
        <w:style w:val=""/>
        <w:category>
          <w:name w:val="常规"/>
          <w:gallery w:val="placeholder"/>
        </w:category>
        <w:types>
          <w:type w:val="bbPlcHdr"/>
        </w:types>
        <w:behaviors>
          <w:behavior w:val="content"/>
        </w:behaviors>
        <w:description w:val=""/>
        <w:guid w:val="{30164f50-162d-494b-a316-b19c6ac12390}"/>
      </w:docPartPr>
      <w:docPartBody>
        <w:p w14:paraId="5897D351">
          <w:r>
            <w:rPr>
              <w:color w:val="808080"/>
            </w:rPr>
            <w:t>单击此处输入文字。</w:t>
          </w:r>
        </w:p>
      </w:docPartBody>
    </w:docPart>
    <w:docPart>
      <w:docPartPr>
        <w:name w:val="{44232531-da07-44d4-9cc3-6d761aa54ed1}"/>
        <w:style w:val=""/>
        <w:category>
          <w:name w:val="常规"/>
          <w:gallery w:val="placeholder"/>
        </w:category>
        <w:types>
          <w:type w:val="bbPlcHdr"/>
        </w:types>
        <w:behaviors>
          <w:behavior w:val="content"/>
        </w:behaviors>
        <w:description w:val=""/>
        <w:guid w:val="{44232531-da07-44d4-9cc3-6d761aa54ed1}"/>
      </w:docPartPr>
      <w:docPartBody>
        <w:p w14:paraId="4B333605">
          <w:r>
            <w:rPr>
              <w:color w:val="808080"/>
            </w:rPr>
            <w:t>单击此处输入文字。</w:t>
          </w:r>
        </w:p>
      </w:docPartBody>
    </w:docPart>
    <w:docPart>
      <w:docPartPr>
        <w:name w:val="{9336547f-7b78-4773-ac58-fcf2d05a5d2e}"/>
        <w:style w:val=""/>
        <w:category>
          <w:name w:val="常规"/>
          <w:gallery w:val="placeholder"/>
        </w:category>
        <w:types>
          <w:type w:val="bbPlcHdr"/>
        </w:types>
        <w:behaviors>
          <w:behavior w:val="content"/>
        </w:behaviors>
        <w:description w:val=""/>
        <w:guid w:val="{9336547f-7b78-4773-ac58-fcf2d05a5d2e}"/>
      </w:docPartPr>
      <w:docPartBody>
        <w:p w14:paraId="60267C84">
          <w:r>
            <w:rPr>
              <w:color w:val="808080"/>
            </w:rPr>
            <w:t>单击此处输入文字。</w:t>
          </w:r>
        </w:p>
      </w:docPartBody>
    </w:docPart>
    <w:docPart>
      <w:docPartPr>
        <w:name w:val="{4a4728f6-93db-4cf7-97e9-2f0c63333c86}"/>
        <w:style w:val=""/>
        <w:category>
          <w:name w:val="常规"/>
          <w:gallery w:val="placeholder"/>
        </w:category>
        <w:types>
          <w:type w:val="bbPlcHdr"/>
        </w:types>
        <w:behaviors>
          <w:behavior w:val="content"/>
        </w:behaviors>
        <w:description w:val=""/>
        <w:guid w:val="{4a4728f6-93db-4cf7-97e9-2f0c63333c86}"/>
      </w:docPartPr>
      <w:docPartBody>
        <w:p w14:paraId="28345107">
          <w:r>
            <w:rPr>
              <w:color w:val="808080"/>
            </w:rPr>
            <w:t>单击此处输入文字。</w:t>
          </w:r>
        </w:p>
      </w:docPartBody>
    </w:docPart>
    <w:docPart>
      <w:docPartPr>
        <w:name w:val="{dd63d9ce-9b3e-4b62-992c-b768ce91f2f5}"/>
        <w:style w:val=""/>
        <w:category>
          <w:name w:val="常规"/>
          <w:gallery w:val="placeholder"/>
        </w:category>
        <w:types>
          <w:type w:val="bbPlcHdr"/>
        </w:types>
        <w:behaviors>
          <w:behavior w:val="content"/>
        </w:behaviors>
        <w:description w:val=""/>
        <w:guid w:val="{dd63d9ce-9b3e-4b62-992c-b768ce91f2f5}"/>
      </w:docPartPr>
      <w:docPartBody>
        <w:p w14:paraId="4B06984D">
          <w:r>
            <w:rPr>
              <w:color w:val="808080"/>
            </w:rPr>
            <w:t>单击此处输入文字。</w:t>
          </w:r>
        </w:p>
      </w:docPartBody>
    </w:docPart>
    <w:docPart>
      <w:docPartPr>
        <w:name w:val="{4fdcda58-8023-436d-a5d3-5596b9a1d498}"/>
        <w:style w:val=""/>
        <w:category>
          <w:name w:val="常规"/>
          <w:gallery w:val="placeholder"/>
        </w:category>
        <w:types>
          <w:type w:val="bbPlcHdr"/>
        </w:types>
        <w:behaviors>
          <w:behavior w:val="content"/>
        </w:behaviors>
        <w:description w:val=""/>
        <w:guid w:val="{4fdcda58-8023-436d-a5d3-5596b9a1d498}"/>
      </w:docPartPr>
      <w:docPartBody>
        <w:p w14:paraId="044BA821">
          <w:r>
            <w:rPr>
              <w:color w:val="808080"/>
            </w:rPr>
            <w:t>单击此处输入文字。</w:t>
          </w:r>
        </w:p>
      </w:docPartBody>
    </w:docPart>
    <w:docPart>
      <w:docPartPr>
        <w:name w:val="{7715c8b4-1de0-4dc8-b5ae-ce5afeb41be7}"/>
        <w:style w:val=""/>
        <w:category>
          <w:name w:val="常规"/>
          <w:gallery w:val="placeholder"/>
        </w:category>
        <w:types>
          <w:type w:val="bbPlcHdr"/>
        </w:types>
        <w:behaviors>
          <w:behavior w:val="content"/>
        </w:behaviors>
        <w:description w:val=""/>
        <w:guid w:val="{7715c8b4-1de0-4dc8-b5ae-ce5afeb41be7}"/>
      </w:docPartPr>
      <w:docPartBody>
        <w:p w14:paraId="55B743A6">
          <w:r>
            <w:rPr>
              <w:color w:val="808080"/>
            </w:rPr>
            <w:t>单击此处输入文字。</w:t>
          </w:r>
        </w:p>
      </w:docPartBody>
    </w:docPart>
    <w:docPart>
      <w:docPartPr>
        <w:name w:val="{b7362060-0605-4d1b-a35d-7fb943132efa}"/>
        <w:style w:val=""/>
        <w:category>
          <w:name w:val="常规"/>
          <w:gallery w:val="placeholder"/>
        </w:category>
        <w:types>
          <w:type w:val="bbPlcHdr"/>
        </w:types>
        <w:behaviors>
          <w:behavior w:val="content"/>
        </w:behaviors>
        <w:description w:val=""/>
        <w:guid w:val="{b7362060-0605-4d1b-a35d-7fb943132efa}"/>
      </w:docPartPr>
      <w:docPartBody>
        <w:p w14:paraId="6661D69A">
          <w:r>
            <w:rPr>
              <w:color w:val="808080"/>
            </w:rPr>
            <w:t>单击此处输入文字。</w:t>
          </w:r>
        </w:p>
      </w:docPartBody>
    </w:docPart>
    <w:docPart>
      <w:docPartPr>
        <w:name w:val="{67376f8a-f63f-4566-9afb-80e9ea343704}"/>
        <w:style w:val=""/>
        <w:category>
          <w:name w:val="常规"/>
          <w:gallery w:val="placeholder"/>
        </w:category>
        <w:types>
          <w:type w:val="bbPlcHdr"/>
        </w:types>
        <w:behaviors>
          <w:behavior w:val="content"/>
        </w:behaviors>
        <w:description w:val=""/>
        <w:guid w:val="{67376f8a-f63f-4566-9afb-80e9ea343704}"/>
      </w:docPartPr>
      <w:docPartBody>
        <w:p w14:paraId="4882CF4E">
          <w:r>
            <w:rPr>
              <w:color w:val="808080"/>
            </w:rPr>
            <w:t>单击此处输入文字。</w:t>
          </w:r>
        </w:p>
      </w:docPartBody>
    </w:docPart>
    <w:docPart>
      <w:docPartPr>
        <w:name w:val="{47ef0b58-a58a-4889-960b-ecffe239a5f4}"/>
        <w:style w:val=""/>
        <w:category>
          <w:name w:val="常规"/>
          <w:gallery w:val="placeholder"/>
        </w:category>
        <w:types>
          <w:type w:val="bbPlcHdr"/>
        </w:types>
        <w:behaviors>
          <w:behavior w:val="content"/>
        </w:behaviors>
        <w:description w:val=""/>
        <w:guid w:val="{47ef0b58-a58a-4889-960b-ecffe239a5f4}"/>
      </w:docPartPr>
      <w:docPartBody>
        <w:p w14:paraId="55C5BD0D">
          <w:r>
            <w:rPr>
              <w:color w:val="808080"/>
            </w:rPr>
            <w:t>单击此处输入文字。</w:t>
          </w:r>
        </w:p>
      </w:docPartBody>
    </w:docPart>
    <w:docPart>
      <w:docPartPr>
        <w:name w:val="{c29c80f6-ccb7-4bd1-b858-47b8089d5584}"/>
        <w:style w:val=""/>
        <w:category>
          <w:name w:val="常规"/>
          <w:gallery w:val="placeholder"/>
        </w:category>
        <w:types>
          <w:type w:val="bbPlcHdr"/>
        </w:types>
        <w:behaviors>
          <w:behavior w:val="content"/>
        </w:behaviors>
        <w:description w:val=""/>
        <w:guid w:val="{c29c80f6-ccb7-4bd1-b858-47b8089d5584}"/>
      </w:docPartPr>
      <w:docPartBody>
        <w:p w14:paraId="1D60924D">
          <w:r>
            <w:rPr>
              <w:color w:val="808080"/>
            </w:rPr>
            <w:t>单击此处输入文字。</w:t>
          </w:r>
        </w:p>
      </w:docPartBody>
    </w:docPart>
    <w:docPart>
      <w:docPartPr>
        <w:name w:val="{640ad3a8-fc2e-4076-a6e1-0db1682aed16}"/>
        <w:style w:val=""/>
        <w:category>
          <w:name w:val="常规"/>
          <w:gallery w:val="placeholder"/>
        </w:category>
        <w:types>
          <w:type w:val="bbPlcHdr"/>
        </w:types>
        <w:behaviors>
          <w:behavior w:val="content"/>
        </w:behaviors>
        <w:description w:val=""/>
        <w:guid w:val="{640ad3a8-fc2e-4076-a6e1-0db1682aed16}"/>
      </w:docPartPr>
      <w:docPartBody>
        <w:p w14:paraId="0B25DFB7">
          <w:r>
            <w:rPr>
              <w:color w:val="808080"/>
            </w:rPr>
            <w:t>单击此处输入文字。</w:t>
          </w:r>
        </w:p>
      </w:docPartBody>
    </w:docPart>
    <w:docPart>
      <w:docPartPr>
        <w:name w:val="{6012f774-2289-4347-9a45-99c5ea125c7a}"/>
        <w:style w:val=""/>
        <w:category>
          <w:name w:val="常规"/>
          <w:gallery w:val="placeholder"/>
        </w:category>
        <w:types>
          <w:type w:val="bbPlcHdr"/>
        </w:types>
        <w:behaviors>
          <w:behavior w:val="content"/>
        </w:behaviors>
        <w:description w:val=""/>
        <w:guid w:val="{6012f774-2289-4347-9a45-99c5ea125c7a}"/>
      </w:docPartPr>
      <w:docPartBody>
        <w:p w14:paraId="3F9D3440">
          <w:r>
            <w:rPr>
              <w:color w:val="808080"/>
            </w:rPr>
            <w:t>单击此处输入文字。</w:t>
          </w:r>
        </w:p>
      </w:docPartBody>
    </w:docPart>
    <w:docPart>
      <w:docPartPr>
        <w:name w:val="{9bdf2415-c501-4537-a9fb-433782b61222}"/>
        <w:style w:val=""/>
        <w:category>
          <w:name w:val="常规"/>
          <w:gallery w:val="placeholder"/>
        </w:category>
        <w:types>
          <w:type w:val="bbPlcHdr"/>
        </w:types>
        <w:behaviors>
          <w:behavior w:val="content"/>
        </w:behaviors>
        <w:description w:val=""/>
        <w:guid w:val="{9bdf2415-c501-4537-a9fb-433782b61222}"/>
      </w:docPartPr>
      <w:docPartBody>
        <w:p w14:paraId="56ABA17A">
          <w:r>
            <w:rPr>
              <w:color w:val="808080"/>
            </w:rPr>
            <w:t>单击此处输入文字。</w:t>
          </w:r>
        </w:p>
      </w:docPartBody>
    </w:docPart>
    <w:docPart>
      <w:docPartPr>
        <w:name w:val="{367b8909-2dd8-4252-aa16-08f08f7c3214}"/>
        <w:style w:val=""/>
        <w:category>
          <w:name w:val="常规"/>
          <w:gallery w:val="placeholder"/>
        </w:category>
        <w:types>
          <w:type w:val="bbPlcHdr"/>
        </w:types>
        <w:behaviors>
          <w:behavior w:val="content"/>
        </w:behaviors>
        <w:description w:val=""/>
        <w:guid w:val="{367b8909-2dd8-4252-aa16-08f08f7c3214}"/>
      </w:docPartPr>
      <w:docPartBody>
        <w:p w14:paraId="29ED6835">
          <w:r>
            <w:rPr>
              <w:color w:val="808080"/>
            </w:rPr>
            <w:t>单击此处输入文字。</w:t>
          </w:r>
        </w:p>
      </w:docPartBody>
    </w:docPart>
    <w:docPart>
      <w:docPartPr>
        <w:name w:val="{b950c1b7-8300-4e3c-84bc-f9bd29065800}"/>
        <w:style w:val=""/>
        <w:category>
          <w:name w:val="常规"/>
          <w:gallery w:val="placeholder"/>
        </w:category>
        <w:types>
          <w:type w:val="bbPlcHdr"/>
        </w:types>
        <w:behaviors>
          <w:behavior w:val="content"/>
        </w:behaviors>
        <w:description w:val=""/>
        <w:guid w:val="{b950c1b7-8300-4e3c-84bc-f9bd29065800}"/>
      </w:docPartPr>
      <w:docPartBody>
        <w:p w14:paraId="48AA495E">
          <w:r>
            <w:rPr>
              <w:color w:val="808080"/>
            </w:rPr>
            <w:t>单击此处输入文字。</w:t>
          </w:r>
        </w:p>
      </w:docPartBody>
    </w:docPart>
    <w:docPart>
      <w:docPartPr>
        <w:name w:val="{136b7446-0c64-4e44-afcb-064912629682}"/>
        <w:style w:val=""/>
        <w:category>
          <w:name w:val="常规"/>
          <w:gallery w:val="placeholder"/>
        </w:category>
        <w:types>
          <w:type w:val="bbPlcHdr"/>
        </w:types>
        <w:behaviors>
          <w:behavior w:val="content"/>
        </w:behaviors>
        <w:description w:val=""/>
        <w:guid w:val="{136b7446-0c64-4e44-afcb-064912629682}"/>
      </w:docPartPr>
      <w:docPartBody>
        <w:p w14:paraId="5F6E461D">
          <w:r>
            <w:rPr>
              <w:color w:val="808080"/>
            </w:rPr>
            <w:t>单击此处输入文字。</w:t>
          </w:r>
        </w:p>
      </w:docPartBody>
    </w:docPart>
    <w:docPart>
      <w:docPartPr>
        <w:name w:val="{6372dc6a-2622-4b8d-8a46-c840aee2cb01}"/>
        <w:style w:val=""/>
        <w:category>
          <w:name w:val="常规"/>
          <w:gallery w:val="placeholder"/>
        </w:category>
        <w:types>
          <w:type w:val="bbPlcHdr"/>
        </w:types>
        <w:behaviors>
          <w:behavior w:val="content"/>
        </w:behaviors>
        <w:description w:val=""/>
        <w:guid w:val="{6372dc6a-2622-4b8d-8a46-c840aee2cb01}"/>
      </w:docPartPr>
      <w:docPartBody>
        <w:p w14:paraId="1EF0BEB5">
          <w:r>
            <w:rPr>
              <w:color w:val="808080"/>
            </w:rPr>
            <w:t>单击此处输入文字。</w:t>
          </w:r>
        </w:p>
      </w:docPartBody>
    </w:docPart>
    <w:docPart>
      <w:docPartPr>
        <w:name w:val="{e0212f36-1866-48d7-ab23-b8c72bf1a2b6}"/>
        <w:style w:val=""/>
        <w:category>
          <w:name w:val="常规"/>
          <w:gallery w:val="placeholder"/>
        </w:category>
        <w:types>
          <w:type w:val="bbPlcHdr"/>
        </w:types>
        <w:behaviors>
          <w:behavior w:val="content"/>
        </w:behaviors>
        <w:description w:val=""/>
        <w:guid w:val="{e0212f36-1866-48d7-ab23-b8c72bf1a2b6}"/>
      </w:docPartPr>
      <w:docPartBody>
        <w:p w14:paraId="0A58D597">
          <w:r>
            <w:rPr>
              <w:color w:val="808080"/>
            </w:rPr>
            <w:t>单击此处输入文字。</w:t>
          </w:r>
        </w:p>
      </w:docPartBody>
    </w:docPart>
    <w:docPart>
      <w:docPartPr>
        <w:name w:val="{32a2e298-1912-41fe-b896-083c6572bd0a}"/>
        <w:style w:val=""/>
        <w:category>
          <w:name w:val="常规"/>
          <w:gallery w:val="placeholder"/>
        </w:category>
        <w:types>
          <w:type w:val="bbPlcHdr"/>
        </w:types>
        <w:behaviors>
          <w:behavior w:val="content"/>
        </w:behaviors>
        <w:description w:val=""/>
        <w:guid w:val="{32a2e298-1912-41fe-b896-083c6572bd0a}"/>
      </w:docPartPr>
      <w:docPartBody>
        <w:p w14:paraId="13EAD121">
          <w:r>
            <w:rPr>
              <w:color w:val="808080"/>
            </w:rPr>
            <w:t>单击此处输入文字。</w:t>
          </w:r>
        </w:p>
      </w:docPartBody>
    </w:docPart>
    <w:docPart>
      <w:docPartPr>
        <w:name w:val="{409e9eeb-aae6-409b-8d73-65dd456e73d1}"/>
        <w:style w:val=""/>
        <w:category>
          <w:name w:val="常规"/>
          <w:gallery w:val="placeholder"/>
        </w:category>
        <w:types>
          <w:type w:val="bbPlcHdr"/>
        </w:types>
        <w:behaviors>
          <w:behavior w:val="content"/>
        </w:behaviors>
        <w:description w:val=""/>
        <w:guid w:val="{409e9eeb-aae6-409b-8d73-65dd456e73d1}"/>
      </w:docPartPr>
      <w:docPartBody>
        <w:p w14:paraId="0A6F720A">
          <w:r>
            <w:rPr>
              <w:color w:val="808080"/>
            </w:rPr>
            <w:t>单击此处输入文字。</w:t>
          </w:r>
        </w:p>
      </w:docPartBody>
    </w:docPart>
    <w:docPart>
      <w:docPartPr>
        <w:name w:val="{aa9735df-0ec2-4df4-b9e8-d52e7ddb1496}"/>
        <w:style w:val=""/>
        <w:category>
          <w:name w:val="常规"/>
          <w:gallery w:val="placeholder"/>
        </w:category>
        <w:types>
          <w:type w:val="bbPlcHdr"/>
        </w:types>
        <w:behaviors>
          <w:behavior w:val="content"/>
        </w:behaviors>
        <w:description w:val=""/>
        <w:guid w:val="{aa9735df-0ec2-4df4-b9e8-d52e7ddb1496}"/>
      </w:docPartPr>
      <w:docPartBody>
        <w:p w14:paraId="646FE2AE">
          <w:r>
            <w:rPr>
              <w:color w:val="808080"/>
            </w:rPr>
            <w:t>单击此处输入文字。</w:t>
          </w:r>
        </w:p>
      </w:docPartBody>
    </w:docPart>
    <w:docPart>
      <w:docPartPr>
        <w:name w:val="{9f2c6386-4cb3-43b6-a457-55aaf09e12ab}"/>
        <w:style w:val=""/>
        <w:category>
          <w:name w:val="常规"/>
          <w:gallery w:val="placeholder"/>
        </w:category>
        <w:types>
          <w:type w:val="bbPlcHdr"/>
        </w:types>
        <w:behaviors>
          <w:behavior w:val="content"/>
        </w:behaviors>
        <w:description w:val=""/>
        <w:guid w:val="{9f2c6386-4cb3-43b6-a457-55aaf09e12ab}"/>
      </w:docPartPr>
      <w:docPartBody>
        <w:p w14:paraId="77F1F7B8">
          <w:r>
            <w:rPr>
              <w:color w:val="808080"/>
            </w:rPr>
            <w:t>单击此处输入文字。</w:t>
          </w:r>
        </w:p>
      </w:docPartBody>
    </w:docPart>
    <w:docPart>
      <w:docPartPr>
        <w:name w:val="{21b83702-a1b3-471a-ae90-3778168265ff}"/>
        <w:style w:val=""/>
        <w:category>
          <w:name w:val="常规"/>
          <w:gallery w:val="placeholder"/>
        </w:category>
        <w:types>
          <w:type w:val="bbPlcHdr"/>
        </w:types>
        <w:behaviors>
          <w:behavior w:val="content"/>
        </w:behaviors>
        <w:description w:val=""/>
        <w:guid w:val="{21b83702-a1b3-471a-ae90-3778168265ff}"/>
      </w:docPartPr>
      <w:docPartBody>
        <w:p w14:paraId="0969B639">
          <w:r>
            <w:rPr>
              <w:color w:val="808080"/>
            </w:rPr>
            <w:t>单击此处输入文字。</w:t>
          </w:r>
        </w:p>
      </w:docPartBody>
    </w:docPart>
    <w:docPart>
      <w:docPartPr>
        <w:name w:val="{32e4b029-59b5-4c67-b6ca-1263b3d2bf9e}"/>
        <w:style w:val=""/>
        <w:category>
          <w:name w:val="常规"/>
          <w:gallery w:val="placeholder"/>
        </w:category>
        <w:types>
          <w:type w:val="bbPlcHdr"/>
        </w:types>
        <w:behaviors>
          <w:behavior w:val="content"/>
        </w:behaviors>
        <w:description w:val=""/>
        <w:guid w:val="{32e4b029-59b5-4c67-b6ca-1263b3d2bf9e}"/>
      </w:docPartPr>
      <w:docPartBody>
        <w:p w14:paraId="51FDDFB5">
          <w:r>
            <w:rPr>
              <w:color w:val="808080"/>
            </w:rPr>
            <w:t>单击此处输入文字。</w:t>
          </w:r>
        </w:p>
      </w:docPartBody>
    </w:docPart>
    <w:docPart>
      <w:docPartPr>
        <w:name w:val="{c4685623-2704-4d8e-9651-59e8965d20de}"/>
        <w:style w:val=""/>
        <w:category>
          <w:name w:val="常规"/>
          <w:gallery w:val="placeholder"/>
        </w:category>
        <w:types>
          <w:type w:val="bbPlcHdr"/>
        </w:types>
        <w:behaviors>
          <w:behavior w:val="content"/>
        </w:behaviors>
        <w:description w:val=""/>
        <w:guid w:val="{c4685623-2704-4d8e-9651-59e8965d20de}"/>
      </w:docPartPr>
      <w:docPartBody>
        <w:p w14:paraId="460A398D">
          <w:r>
            <w:rPr>
              <w:color w:val="808080"/>
            </w:rPr>
            <w:t>单击此处输入文字。</w:t>
          </w:r>
        </w:p>
      </w:docPartBody>
    </w:docPart>
    <w:docPart>
      <w:docPartPr>
        <w:name w:val="{66d36309-f128-4094-935b-c1a36666f0cd}"/>
        <w:style w:val=""/>
        <w:category>
          <w:name w:val="常规"/>
          <w:gallery w:val="placeholder"/>
        </w:category>
        <w:types>
          <w:type w:val="bbPlcHdr"/>
        </w:types>
        <w:behaviors>
          <w:behavior w:val="content"/>
        </w:behaviors>
        <w:description w:val=""/>
        <w:guid w:val="{66d36309-f128-4094-935b-c1a36666f0cd}"/>
      </w:docPartPr>
      <w:docPartBody>
        <w:p w14:paraId="380978DA">
          <w:r>
            <w:rPr>
              <w:color w:val="808080"/>
            </w:rPr>
            <w:t>单击此处输入文字。</w:t>
          </w:r>
        </w:p>
      </w:docPartBody>
    </w:docPart>
    <w:docPart>
      <w:docPartPr>
        <w:name w:val="{90713ec6-7525-4849-9e29-6fe9cf4260a5}"/>
        <w:style w:val=""/>
        <w:category>
          <w:name w:val="常规"/>
          <w:gallery w:val="placeholder"/>
        </w:category>
        <w:types>
          <w:type w:val="bbPlcHdr"/>
        </w:types>
        <w:behaviors>
          <w:behavior w:val="content"/>
        </w:behaviors>
        <w:description w:val=""/>
        <w:guid w:val="{90713ec6-7525-4849-9e29-6fe9cf4260a5}"/>
      </w:docPartPr>
      <w:docPartBody>
        <w:p w14:paraId="5A25B2B1">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7078</Words>
  <Characters>7375</Characters>
  <Lines>357</Lines>
  <Paragraphs>100</Paragraphs>
  <TotalTime>24</TotalTime>
  <ScaleCrop>false</ScaleCrop>
  <LinksUpToDate>false</LinksUpToDate>
  <CharactersWithSpaces>7635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2022-03-07T20:01:00Z</dcterms:created>
  <dc:creator>Bao Zhang</dc:creator>
  <cp:lastModifiedBy>劉</cp:lastModifiedBy>
  <cp:lastPrinted>2022-09-27T10:13:00Z</cp:lastPrinted>
  <dcterms:modified xsi:type="dcterms:W3CDTF">2025-05-23T07:44:42Z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DEE4D139D7704BD0B3C314862B06DE33</vt:lpwstr>
  </property>
  <property fmtid="{D5CDD505-2E9C-101B-9397-08002B2CF9AE}" pid="4" name="KSOTemplateDocerSaveRecord">
    <vt:lpwstr>eyJoZGlkIjoiOGViM2I2YjQ1MmRjZDkwMTlhOTYzNTUwNTE0ZTlmNDEiLCJ1c2VySWQiOiIyNDgxNTM1ODcifQ==</vt:lpwstr>
  </property>
</Properties>
</file>