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14"/>
      <w:r>
        <w:rPr>
          <w:rFonts w:hint="eastAsia" w:ascii="方正小标宋_GBK" w:hAnsi="方正小标宋_GBK" w:eastAsia="方正小标宋_GBK"/>
          <w:b w:val="0"/>
          <w:bCs w:val="0"/>
          <w:sz w:val="30"/>
        </w:rPr>
        <w:t>（十一）</w:t>
      </w:r>
      <w:r>
        <w:rPr>
          <w:rFonts w:ascii="方正小标宋_GBK" w:hAnsi="方正小标宋_GBK" w:eastAsia="方正小标宋_GBK"/>
          <w:b w:val="0"/>
          <w:bCs w:val="0"/>
          <w:sz w:val="30"/>
        </w:rPr>
        <w:t>城乡规划</w:t>
      </w:r>
      <w:r>
        <w:rPr>
          <w:rFonts w:hint="eastAsia" w:ascii="方正小标宋_GBK" w:hAnsi="方正小标宋_GBK" w:eastAsia="方正小标宋_GBK"/>
          <w:b w:val="0"/>
          <w:bCs w:val="0"/>
          <w:sz w:val="30"/>
        </w:rPr>
        <w:t>领域基层政务公开标准目录</w:t>
      </w:r>
      <w:bookmarkEnd w:id="0"/>
    </w:p>
    <w:tbl>
      <w:tblPr>
        <w:tblStyle w:val="9"/>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1800"/>
        <w:gridCol w:w="2160"/>
        <w:gridCol w:w="1440"/>
        <w:gridCol w:w="1080"/>
        <w:gridCol w:w="2756"/>
        <w:gridCol w:w="72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80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75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pPr>
              <w:widowControl/>
              <w:jc w:val="left"/>
              <w:rPr>
                <w:rFonts w:ascii="黑体" w:hAnsi="宋体" w:eastAsia="黑体" w:cs="宋体"/>
                <w:color w:val="000000"/>
                <w:kern w:val="0"/>
                <w:sz w:val="22"/>
              </w:rPr>
            </w:pPr>
          </w:p>
        </w:tc>
        <w:tc>
          <w:tcPr>
            <w:tcW w:w="2160" w:type="dxa"/>
            <w:vMerge w:val="continue"/>
            <w:vAlign w:val="center"/>
          </w:tcPr>
          <w:p>
            <w:pPr>
              <w:widowControl/>
              <w:jc w:val="left"/>
              <w:rPr>
                <w:rFonts w:ascii="黑体" w:hAnsi="宋体" w:eastAsia="黑体" w:cs="宋体"/>
                <w:color w:val="000000"/>
                <w:kern w:val="0"/>
                <w:sz w:val="22"/>
              </w:rPr>
            </w:pPr>
          </w:p>
        </w:tc>
        <w:tc>
          <w:tcPr>
            <w:tcW w:w="144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275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shd w:val="clear" w:color="auto" w:fill="auto"/>
            <w:vAlign w:val="center"/>
          </w:tcPr>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公共</w:t>
            </w:r>
          </w:p>
          <w:p>
            <w:pPr>
              <w:widowControl/>
              <w:jc w:val="center"/>
              <w:rPr>
                <w:rFonts w:hint="eastAsia" w:ascii="仿宋_GB2312" w:hAnsi="宋体" w:eastAsia="仿宋_GB2312"/>
                <w:color w:val="000000"/>
                <w:sz w:val="18"/>
                <w:szCs w:val="18"/>
              </w:rPr>
            </w:pPr>
            <w:r>
              <w:rPr>
                <w:rFonts w:ascii="仿宋_GB2312" w:hAnsi="宋体" w:eastAsia="仿宋_GB2312"/>
                <w:color w:val="000000"/>
                <w:sz w:val="18"/>
                <w:szCs w:val="18"/>
              </w:rPr>
              <w:t>服务</w:t>
            </w:r>
          </w:p>
        </w:tc>
        <w:tc>
          <w:tcPr>
            <w:tcW w:w="108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法规文件</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城乡规划领域相关法律、法规、规章、规范性文件</w:t>
            </w:r>
          </w:p>
        </w:tc>
        <w:tc>
          <w:tcPr>
            <w:tcW w:w="2160" w:type="dxa"/>
            <w:vAlign w:val="center"/>
          </w:tcPr>
          <w:p>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《中华人民共和国城乡规划法》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rPr>
                <w:rFonts w:hint="eastAsia" w:ascii="仿宋_GB2312" w:hAnsi="宋体" w:eastAsia="仿宋_GB2312"/>
                <w:color w:val="000000"/>
                <w:sz w:val="18"/>
                <w:szCs w:val="18"/>
              </w:rPr>
            </w:pPr>
            <w:r>
              <w:rPr>
                <w:rFonts w:ascii="仿宋_GB2312" w:hAnsi="宋体" w:eastAsia="仿宋_GB2312"/>
                <w:color w:val="000000"/>
                <w:sz w:val="18"/>
                <w:szCs w:val="18"/>
              </w:rPr>
              <w:t>■纸质载体</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■公开查阅点</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shd w:val="clear" w:color="auto" w:fill="auto"/>
            <w:vAlign w:val="center"/>
          </w:tcPr>
          <w:p>
            <w:pPr>
              <w:jc w:val="left"/>
              <w:rPr>
                <w:rFonts w:ascii="仿宋_GB2312" w:hAnsi="宋体" w:eastAsia="仿宋_GB2312"/>
                <w:color w:val="000000"/>
                <w:sz w:val="18"/>
                <w:szCs w:val="18"/>
              </w:rPr>
            </w:pPr>
          </w:p>
        </w:tc>
        <w:tc>
          <w:tcPr>
            <w:tcW w:w="108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政民互动</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城乡规划事项的意见征集、咨询、信访等</w:t>
            </w:r>
          </w:p>
        </w:tc>
        <w:tc>
          <w:tcPr>
            <w:tcW w:w="2160" w:type="dxa"/>
            <w:vAlign w:val="center"/>
          </w:tcPr>
          <w:p>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4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jc w:val="left"/>
              <w:rPr>
                <w:rFonts w:ascii="仿宋_GB2312" w:hAnsi="宋体" w:eastAsia="仿宋_GB2312"/>
                <w:color w:val="000000"/>
                <w:sz w:val="18"/>
                <w:szCs w:val="18"/>
              </w:rPr>
            </w:pPr>
            <w:r>
              <w:rPr>
                <w:rFonts w:ascii="仿宋_GB2312" w:hAnsi="宋体" w:eastAsia="仿宋_GB2312"/>
                <w:color w:val="000000"/>
                <w:sz w:val="18"/>
                <w:szCs w:val="18"/>
              </w:rPr>
              <w:t xml:space="preserve">■广播电视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■公开查阅点■政府服务中心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shd w:val="clear" w:color="auto" w:fill="auto"/>
            <w:vAlign w:val="center"/>
          </w:tcPr>
          <w:p>
            <w:pPr>
              <w:widowControl/>
              <w:jc w:val="left"/>
              <w:rPr>
                <w:rFonts w:ascii="仿宋_GB2312" w:hAnsi="宋体" w:eastAsia="仿宋_GB2312"/>
                <w:color w:val="000000"/>
                <w:sz w:val="18"/>
                <w:szCs w:val="18"/>
              </w:rPr>
            </w:pPr>
          </w:p>
        </w:tc>
        <w:tc>
          <w:tcPr>
            <w:tcW w:w="108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办事服务</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行政许可的事项、依据、条件、数量、程序、期限以及申请行政许可需要提交的全部材料目录</w:t>
            </w:r>
          </w:p>
        </w:tc>
        <w:tc>
          <w:tcPr>
            <w:tcW w:w="2160" w:type="dxa"/>
            <w:vAlign w:val="center"/>
          </w:tcPr>
          <w:p>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《中华人民共和国政府信息公开条例》</w:t>
            </w:r>
          </w:p>
        </w:tc>
        <w:tc>
          <w:tcPr>
            <w:tcW w:w="14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实时公开</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■公开查阅点■政府服务中心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shd w:val="clear" w:color="auto" w:fill="auto"/>
            <w:vAlign w:val="center"/>
          </w:tcPr>
          <w:p>
            <w:pPr>
              <w:jc w:val="left"/>
              <w:rPr>
                <w:rFonts w:hint="eastAsia"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城市、镇总体规划及同级的土地利用规划</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规划批准文件、脱密后的文本</w:t>
            </w:r>
            <w:r>
              <w:rPr>
                <w:rFonts w:hint="eastAsia" w:ascii="仿宋_GB2312" w:hAnsi="宋体" w:eastAsia="仿宋_GB2312"/>
                <w:color w:val="000000"/>
                <w:sz w:val="18"/>
                <w:szCs w:val="18"/>
              </w:rPr>
              <w:t>及</w:t>
            </w:r>
            <w:r>
              <w:rPr>
                <w:rFonts w:ascii="仿宋_GB2312" w:hAnsi="宋体" w:eastAsia="仿宋_GB2312"/>
                <w:color w:val="000000"/>
                <w:sz w:val="18"/>
                <w:szCs w:val="18"/>
              </w:rPr>
              <w:t>图</w:t>
            </w:r>
            <w:r>
              <w:rPr>
                <w:rFonts w:hint="eastAsia" w:ascii="仿宋_GB2312" w:hAnsi="宋体" w:eastAsia="仿宋_GB2312"/>
                <w:color w:val="000000"/>
                <w:sz w:val="18"/>
                <w:szCs w:val="18"/>
              </w:rPr>
              <w:t>纸</w:t>
            </w:r>
            <w:r>
              <w:rPr>
                <w:rFonts w:ascii="仿宋_GB2312" w:hAnsi="宋体" w:eastAsia="仿宋_GB2312"/>
                <w:color w:val="000000"/>
                <w:sz w:val="18"/>
                <w:szCs w:val="18"/>
              </w:rPr>
              <w:t>等</w:t>
            </w:r>
          </w:p>
        </w:tc>
        <w:tc>
          <w:tcPr>
            <w:tcW w:w="2160" w:type="dxa"/>
            <w:vAlign w:val="center"/>
          </w:tcPr>
          <w:p>
            <w:pPr>
              <w:widowControl/>
              <w:rPr>
                <w:rFonts w:hint="eastAsia" w:ascii="仿宋_GB2312" w:hAnsi="宋体" w:eastAsia="仿宋_GB2312"/>
                <w:color w:val="000000"/>
                <w:sz w:val="18"/>
                <w:szCs w:val="18"/>
                <w:lang w:eastAsia="zh-CN"/>
              </w:rPr>
            </w:pPr>
            <w:bookmarkStart w:id="1" w:name="_GoBack"/>
            <w:bookmarkEnd w:id="1"/>
            <w:r>
              <w:rPr>
                <w:rFonts w:hint="eastAsia" w:ascii="仿宋_GB2312" w:hAnsi="宋体" w:eastAsia="仿宋_GB2312"/>
                <w:color w:val="000000"/>
                <w:sz w:val="18"/>
                <w:szCs w:val="18"/>
                <w:lang w:eastAsia="zh-CN"/>
              </w:rPr>
              <w:t>《中华人民共和国土地管理法》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《中华人民共和国城乡规划法》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p>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■公开查阅点</w:t>
            </w:r>
            <w:r>
              <w:rPr>
                <w:rFonts w:hint="eastAsia" w:ascii="仿宋_GB2312" w:hAnsi="宋体" w:eastAsia="仿宋_GB2312"/>
                <w:color w:val="000000"/>
                <w:sz w:val="18"/>
                <w:szCs w:val="18"/>
              </w:rPr>
              <w:br w:type="textWrapping"/>
            </w:r>
            <w:r>
              <w:rPr>
                <w:rFonts w:ascii="仿宋_GB2312" w:hAnsi="宋体" w:eastAsia="仿宋_GB2312"/>
                <w:color w:val="000000"/>
                <w:sz w:val="18"/>
                <w:szCs w:val="18"/>
              </w:rPr>
              <w:t>■政府服务中心</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hint="eastAsia"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乡规划及同级的土地利用规划</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w:t>
            </w:r>
            <w:r>
              <w:rPr>
                <w:rFonts w:hint="eastAsia" w:ascii="仿宋_GB2312" w:hAnsi="宋体" w:eastAsia="仿宋_GB2312"/>
                <w:color w:val="000000"/>
                <w:sz w:val="18"/>
                <w:szCs w:val="18"/>
              </w:rPr>
              <w:t>及图纸</w:t>
            </w:r>
            <w:r>
              <w:rPr>
                <w:rFonts w:ascii="仿宋_GB2312" w:hAnsi="宋体" w:eastAsia="仿宋_GB2312"/>
                <w:color w:val="000000"/>
                <w:sz w:val="18"/>
                <w:szCs w:val="18"/>
              </w:rPr>
              <w:t>等</w:t>
            </w:r>
          </w:p>
        </w:tc>
        <w:tc>
          <w:tcPr>
            <w:tcW w:w="2160" w:type="dxa"/>
            <w:vAlign w:val="center"/>
          </w:tcPr>
          <w:p>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《中华人民共和国土地管理法》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《中华人民共和国城乡规划法》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p>
          <w:p>
            <w:pPr>
              <w:widowControl/>
              <w:rPr>
                <w:rFonts w:hint="eastAsia" w:ascii="仿宋_GB2312" w:hAnsi="宋体" w:eastAsia="仿宋_GB2312"/>
                <w:color w:val="000000"/>
                <w:sz w:val="18"/>
                <w:szCs w:val="18"/>
              </w:rPr>
            </w:pPr>
            <w:r>
              <w:rPr>
                <w:rFonts w:ascii="仿宋_GB2312" w:hAnsi="宋体" w:eastAsia="仿宋_GB2312"/>
                <w:color w:val="000000"/>
                <w:sz w:val="18"/>
                <w:szCs w:val="18"/>
              </w:rPr>
              <w:t>■公开查阅点■政府服务中心</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hint="eastAsia"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shd w:val="clear" w:color="auto" w:fill="auto"/>
            <w:vAlign w:val="center"/>
          </w:tcPr>
          <w:p>
            <w:pPr>
              <w:widowControl/>
              <w:jc w:val="center"/>
              <w:rPr>
                <w:rFonts w:hint="eastAsia" w:ascii="仿宋_GB2312" w:hAnsi="宋体" w:eastAsia="仿宋_GB2312"/>
                <w:color w:val="000000"/>
                <w:sz w:val="18"/>
                <w:szCs w:val="18"/>
              </w:rPr>
            </w:pPr>
          </w:p>
        </w:tc>
        <w:tc>
          <w:tcPr>
            <w:tcW w:w="1080" w:type="dxa"/>
            <w:shd w:val="clear" w:color="auto" w:fill="auto"/>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rPr>
              <w:t>城市、镇详细规划</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脱密后的文本及</w:t>
            </w:r>
            <w:r>
              <w:rPr>
                <w:rFonts w:hint="eastAsia" w:ascii="仿宋_GB2312" w:hAnsi="宋体" w:eastAsia="仿宋_GB2312"/>
                <w:color w:val="000000"/>
                <w:sz w:val="18"/>
                <w:szCs w:val="18"/>
              </w:rPr>
              <w:t>图表</w:t>
            </w:r>
            <w:r>
              <w:rPr>
                <w:rFonts w:ascii="仿宋_GB2312" w:hAnsi="宋体" w:eastAsia="仿宋_GB2312"/>
                <w:color w:val="000000"/>
                <w:sz w:val="18"/>
                <w:szCs w:val="18"/>
              </w:rPr>
              <w:t>等</w:t>
            </w:r>
          </w:p>
        </w:tc>
        <w:tc>
          <w:tcPr>
            <w:tcW w:w="2160" w:type="dxa"/>
            <w:vAlign w:val="center"/>
          </w:tcPr>
          <w:p>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《中华人民共和国城乡规划法》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■公开查阅点■政府服务中心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规划编制</w:t>
            </w:r>
          </w:p>
        </w:tc>
        <w:tc>
          <w:tcPr>
            <w:tcW w:w="1080" w:type="dxa"/>
            <w:shd w:val="clear" w:color="auto" w:fill="auto"/>
            <w:vAlign w:val="center"/>
          </w:tcPr>
          <w:p>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部分村庄编制完成的</w:t>
            </w:r>
            <w:r>
              <w:rPr>
                <w:rFonts w:ascii="仿宋_GB2312" w:hAnsi="宋体" w:eastAsia="仿宋_GB2312"/>
                <w:color w:val="000000"/>
                <w:sz w:val="18"/>
                <w:szCs w:val="18"/>
              </w:rPr>
              <w:t>村庄规划</w:t>
            </w:r>
            <w:r>
              <w:rPr>
                <w:rFonts w:hint="eastAsia" w:ascii="仿宋_GB2312" w:hAnsi="宋体" w:eastAsia="仿宋_GB2312"/>
                <w:color w:val="000000"/>
                <w:sz w:val="18"/>
                <w:szCs w:val="18"/>
              </w:rPr>
              <w:t>、村土地利用规划</w:t>
            </w:r>
          </w:p>
        </w:tc>
        <w:tc>
          <w:tcPr>
            <w:tcW w:w="1800" w:type="dxa"/>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脱密后的文本及附图等</w:t>
            </w:r>
          </w:p>
        </w:tc>
        <w:tc>
          <w:tcPr>
            <w:tcW w:w="21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《中华人民共和国土地管理法》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《中华人民共和国城乡规划法》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、《国土资源部关于有序开展村土地利用规划编制工作的指导意见》</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■公开查阅点■政府服务中心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shd w:val="clear" w:color="auto" w:fill="auto"/>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建设项目选址意见书</w:t>
            </w:r>
          </w:p>
        </w:tc>
        <w:tc>
          <w:tcPr>
            <w:tcW w:w="1800" w:type="dxa"/>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pPr>
              <w:widowControl/>
              <w:spacing w:line="26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《中华人民共和国城乡规划法》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rPr>
                <w:rFonts w:ascii="仿宋_GB2312" w:hAnsi="宋体" w:eastAsia="仿宋_GB2312"/>
                <w:color w:val="000000"/>
                <w:sz w:val="18"/>
                <w:szCs w:val="18"/>
              </w:rPr>
            </w:pPr>
            <w:r>
              <w:rPr>
                <w:rFonts w:ascii="仿宋_GB2312" w:hAnsi="宋体" w:eastAsia="仿宋_GB2312"/>
                <w:color w:val="000000"/>
                <w:sz w:val="18"/>
                <w:szCs w:val="18"/>
              </w:rPr>
              <w:t>■政府服务中心</w:t>
            </w:r>
          </w:p>
          <w:p>
            <w:pPr>
              <w:widowControl/>
              <w:rPr>
                <w:rFonts w:ascii="仿宋_GB2312" w:hAnsi="宋体" w:eastAsia="仿宋_GB2312"/>
                <w:color w:val="000000"/>
                <w:sz w:val="18"/>
                <w:szCs w:val="18"/>
              </w:rPr>
            </w:pPr>
            <w:r>
              <w:rPr>
                <w:rFonts w:ascii="仿宋_GB2312" w:hAnsi="宋体" w:eastAsia="仿宋_GB2312"/>
                <w:color w:val="000000"/>
                <w:sz w:val="18"/>
                <w:szCs w:val="18"/>
              </w:rPr>
              <w:t xml:space="preserve">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shd w:val="clear" w:color="auto" w:fill="auto"/>
            <w:vAlign w:val="center"/>
          </w:tcPr>
          <w:p>
            <w:pPr>
              <w:widowControl/>
              <w:jc w:val="center"/>
              <w:rPr>
                <w:rFonts w:ascii="仿宋_GB2312" w:hAnsi="宋体" w:eastAsia="仿宋_GB2312"/>
                <w:color w:val="000000"/>
                <w:sz w:val="18"/>
                <w:szCs w:val="18"/>
              </w:rPr>
            </w:pPr>
          </w:p>
        </w:tc>
        <w:tc>
          <w:tcPr>
            <w:tcW w:w="1080" w:type="dxa"/>
            <w:shd w:val="clear" w:color="auto" w:fill="auto"/>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建设用地规划许可证</w:t>
            </w:r>
          </w:p>
        </w:tc>
        <w:tc>
          <w:tcPr>
            <w:tcW w:w="1800" w:type="dxa"/>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pPr>
              <w:widowControl/>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《中华人民共和国城乡规划法》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spacing w:line="260" w:lineRule="exact"/>
              <w:rPr>
                <w:rFonts w:hint="eastAsia" w:ascii="仿宋_GB2312" w:hAnsi="宋体" w:eastAsia="仿宋_GB2312"/>
                <w:color w:val="000000"/>
                <w:sz w:val="18"/>
                <w:szCs w:val="18"/>
              </w:rPr>
            </w:pPr>
            <w:r>
              <w:rPr>
                <w:rFonts w:ascii="仿宋_GB2312" w:hAnsi="宋体" w:eastAsia="仿宋_GB2312"/>
                <w:color w:val="000000"/>
                <w:sz w:val="18"/>
                <w:szCs w:val="18"/>
              </w:rPr>
              <w:t>■政府网站</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■两微一端</w:t>
            </w:r>
            <w:r>
              <w:rPr>
                <w:rFonts w:hint="eastAsia" w:ascii="仿宋_GB2312" w:hAnsi="宋体" w:eastAsia="仿宋_GB2312"/>
                <w:color w:val="000000"/>
                <w:sz w:val="18"/>
                <w:szCs w:val="18"/>
              </w:rPr>
              <w:t xml:space="preserve">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shd w:val="clear" w:color="auto" w:fill="auto"/>
            <w:vAlign w:val="center"/>
          </w:tcPr>
          <w:p>
            <w:pPr>
              <w:widowControl/>
              <w:jc w:val="center"/>
              <w:rPr>
                <w:rFonts w:ascii="仿宋_GB2312" w:hAnsi="宋体" w:eastAsia="仿宋_GB2312"/>
                <w:color w:val="000000"/>
                <w:sz w:val="18"/>
                <w:szCs w:val="18"/>
              </w:rPr>
            </w:pPr>
          </w:p>
        </w:tc>
        <w:tc>
          <w:tcPr>
            <w:tcW w:w="1080" w:type="dxa"/>
            <w:shd w:val="clear" w:color="auto" w:fill="auto"/>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建设工程规划许可证</w:t>
            </w:r>
          </w:p>
        </w:tc>
        <w:tc>
          <w:tcPr>
            <w:tcW w:w="1800" w:type="dxa"/>
            <w:vAlign w:val="center"/>
          </w:tcPr>
          <w:p>
            <w:pPr>
              <w:widowControl/>
              <w:jc w:val="left"/>
              <w:rPr>
                <w:rFonts w:hint="eastAsia"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r>
              <w:rPr>
                <w:rFonts w:hint="eastAsia" w:ascii="仿宋_GB2312" w:hAnsi="宋体" w:eastAsia="仿宋_GB2312"/>
                <w:color w:val="000000"/>
                <w:sz w:val="18"/>
                <w:szCs w:val="18"/>
              </w:rPr>
              <w:t>（涉密项目除外）</w:t>
            </w:r>
          </w:p>
        </w:tc>
        <w:tc>
          <w:tcPr>
            <w:tcW w:w="2160" w:type="dxa"/>
            <w:vAlign w:val="center"/>
          </w:tcPr>
          <w:p>
            <w:pPr>
              <w:widowControl/>
              <w:spacing w:line="240" w:lineRule="exac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《中华人民共和国城乡规划法》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■政府服务中心 </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规划许可</w:t>
            </w:r>
          </w:p>
        </w:tc>
        <w:tc>
          <w:tcPr>
            <w:tcW w:w="1080" w:type="dxa"/>
            <w:shd w:val="clear" w:color="auto" w:fill="auto"/>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乡村建设规划许可证</w:t>
            </w:r>
          </w:p>
        </w:tc>
        <w:tc>
          <w:tcPr>
            <w:tcW w:w="1800" w:type="dxa"/>
            <w:vAlign w:val="center"/>
          </w:tcPr>
          <w:p>
            <w:pPr>
              <w:widowControl/>
              <w:spacing w:line="260" w:lineRule="exact"/>
              <w:jc w:val="left"/>
              <w:rPr>
                <w:rFonts w:ascii="仿宋_GB2312" w:hAnsi="宋体" w:eastAsia="仿宋_GB2312"/>
                <w:color w:val="000000"/>
                <w:sz w:val="18"/>
                <w:szCs w:val="18"/>
              </w:rPr>
            </w:pPr>
            <w:r>
              <w:rPr>
                <w:rFonts w:ascii="仿宋_GB2312" w:hAnsi="宋体" w:eastAsia="仿宋_GB2312"/>
                <w:color w:val="000000"/>
                <w:sz w:val="18"/>
                <w:szCs w:val="18"/>
              </w:rPr>
              <w:t>新办、变更、延续、补证、注销的办理情况</w:t>
            </w:r>
          </w:p>
        </w:tc>
        <w:tc>
          <w:tcPr>
            <w:tcW w:w="2160" w:type="dxa"/>
            <w:vAlign w:val="center"/>
          </w:tcPr>
          <w:p>
            <w:pPr>
              <w:widowControl/>
              <w:spacing w:line="260" w:lineRule="exact"/>
              <w:jc w:val="left"/>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《中华人民共和国城乡规划法》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shd w:val="clear" w:color="auto" w:fill="auto"/>
            <w:vAlign w:val="center"/>
          </w:tcPr>
          <w:p>
            <w:pPr>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行政处罚基本信息</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执法主体、执法人员姓名及证件编号、职责、权限、查处依据、工作程序、救济渠道和随机抽查事项清单等信息</w:t>
            </w:r>
          </w:p>
        </w:tc>
        <w:tc>
          <w:tcPr>
            <w:tcW w:w="21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《中华人民共和国城乡规划法》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vAlign w:val="center"/>
          </w:tcPr>
          <w:p>
            <w:pPr>
              <w:widowControl/>
              <w:rPr>
                <w:rFonts w:ascii="仿宋_GB2312" w:hAnsi="宋体" w:eastAsia="仿宋_GB2312"/>
                <w:color w:val="000000"/>
                <w:sz w:val="18"/>
                <w:szCs w:val="18"/>
              </w:rPr>
            </w:pPr>
            <w:r>
              <w:rPr>
                <w:rFonts w:ascii="仿宋_GB2312" w:hAnsi="宋体" w:eastAsia="仿宋_GB2312"/>
                <w:color w:val="000000"/>
                <w:sz w:val="18"/>
                <w:szCs w:val="18"/>
              </w:rPr>
              <w:t>信息形成或者变更之日起20个工作日内</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widowControl/>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行政处罚</w:t>
            </w:r>
          </w:p>
        </w:tc>
        <w:tc>
          <w:tcPr>
            <w:tcW w:w="108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事后公开</w:t>
            </w:r>
          </w:p>
        </w:tc>
        <w:tc>
          <w:tcPr>
            <w:tcW w:w="1800" w:type="dxa"/>
            <w:vAlign w:val="center"/>
          </w:tcPr>
          <w:p>
            <w:pPr>
              <w:widowControl/>
              <w:jc w:val="left"/>
              <w:rPr>
                <w:rFonts w:ascii="仿宋_GB2312" w:hAnsi="宋体" w:eastAsia="仿宋_GB2312"/>
                <w:color w:val="000000"/>
                <w:sz w:val="18"/>
                <w:szCs w:val="18"/>
              </w:rPr>
            </w:pPr>
            <w:r>
              <w:rPr>
                <w:rFonts w:ascii="仿宋_GB2312" w:hAnsi="宋体" w:eastAsia="仿宋_GB2312"/>
                <w:color w:val="000000"/>
                <w:sz w:val="18"/>
                <w:szCs w:val="18"/>
              </w:rPr>
              <w:t>作出的行政处罚决定信息（法律、行政法规另有规定的除外）</w:t>
            </w:r>
          </w:p>
        </w:tc>
        <w:tc>
          <w:tcPr>
            <w:tcW w:w="2160" w:type="dxa"/>
            <w:vAlign w:val="center"/>
          </w:tcPr>
          <w:p>
            <w:pPr>
              <w:widowControl/>
              <w:rPr>
                <w:rFonts w:ascii="仿宋_GB2312" w:hAnsi="宋体" w:eastAsia="仿宋_GB2312"/>
                <w:color w:val="000000"/>
                <w:sz w:val="18"/>
                <w:szCs w:val="18"/>
              </w:rPr>
            </w:pPr>
            <w:r>
              <w:rPr>
                <w:rFonts w:hint="eastAsia" w:ascii="仿宋_GB2312" w:hAnsi="宋体" w:eastAsia="仿宋_GB2312"/>
                <w:color w:val="000000"/>
                <w:sz w:val="18"/>
                <w:szCs w:val="18"/>
                <w:lang w:eastAsia="zh-CN"/>
              </w:rPr>
              <w:t>《中华人民共和国城乡规划法》</w:t>
            </w: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《中华人民共和国政府信息公开条例》</w:t>
            </w:r>
            <w:r>
              <w:rPr>
                <w:rFonts w:hint="eastAsia" w:ascii="仿宋_GB2312" w:hAnsi="宋体" w:eastAsia="仿宋_GB2312"/>
                <w:color w:val="000000"/>
                <w:sz w:val="18"/>
                <w:szCs w:val="18"/>
              </w:rPr>
              <w:t>、</w:t>
            </w:r>
            <w:r>
              <w:rPr>
                <w:rFonts w:ascii="仿宋_GB2312" w:hAnsi="宋体" w:eastAsia="仿宋_GB2312"/>
                <w:color w:val="000000"/>
                <w:sz w:val="18"/>
                <w:szCs w:val="18"/>
              </w:rPr>
              <w:t>《关于全面推行行政执法公示制度执法全过程记录制度重大执法决定法制审核制度的指导意见》</w:t>
            </w:r>
          </w:p>
        </w:tc>
        <w:tc>
          <w:tcPr>
            <w:tcW w:w="144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7个工作日</w:t>
            </w:r>
          </w:p>
        </w:tc>
        <w:tc>
          <w:tcPr>
            <w:tcW w:w="1080" w:type="dxa"/>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自然资源管理部门</w:t>
            </w:r>
          </w:p>
        </w:tc>
        <w:tc>
          <w:tcPr>
            <w:tcW w:w="2756" w:type="dxa"/>
            <w:vAlign w:val="center"/>
          </w:tcPr>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宋体" w:eastAsia="仿宋_GB2312"/>
                <w:color w:val="000000"/>
                <w:sz w:val="18"/>
                <w:szCs w:val="18"/>
              </w:rPr>
              <w:t xml:space="preserve"> </w:t>
            </w:r>
            <w:r>
              <w:rPr>
                <w:rFonts w:ascii="仿宋_GB2312" w:hAnsi="宋体" w:eastAsia="仿宋_GB2312"/>
                <w:color w:val="000000"/>
                <w:sz w:val="18"/>
                <w:szCs w:val="18"/>
              </w:rPr>
              <w:t xml:space="preserve">■两微一端 </w:t>
            </w:r>
          </w:p>
          <w:p>
            <w:pPr>
              <w:widowControl/>
              <w:spacing w:line="260" w:lineRule="exact"/>
              <w:rPr>
                <w:rFonts w:ascii="仿宋_GB2312" w:hAnsi="宋体" w:eastAsia="仿宋_GB2312"/>
                <w:color w:val="000000"/>
                <w:sz w:val="18"/>
                <w:szCs w:val="18"/>
              </w:rPr>
            </w:pPr>
            <w:r>
              <w:rPr>
                <w:rFonts w:ascii="仿宋_GB2312" w:hAnsi="宋体" w:eastAsia="仿宋_GB2312"/>
                <w:color w:val="000000"/>
                <w:sz w:val="18"/>
                <w:szCs w:val="18"/>
              </w:rPr>
              <w:t>■政府服务中心</w:t>
            </w: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09" w:type="dxa"/>
            <w:shd w:val="clear" w:color="auto" w:fill="auto"/>
            <w:vAlign w:val="center"/>
          </w:tcPr>
          <w:p>
            <w:pPr>
              <w:widowControl/>
              <w:jc w:val="center"/>
              <w:rPr>
                <w:rFonts w:ascii="仿宋_GB2312" w:hAnsi="宋体" w:eastAsia="仿宋_GB2312"/>
                <w:color w:val="000000"/>
                <w:sz w:val="18"/>
                <w:szCs w:val="18"/>
              </w:rPr>
            </w:pPr>
          </w:p>
        </w:tc>
        <w:tc>
          <w:tcPr>
            <w:tcW w:w="551"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c>
          <w:tcPr>
            <w:tcW w:w="720" w:type="dxa"/>
            <w:shd w:val="clear" w:color="auto" w:fill="auto"/>
            <w:vAlign w:val="center"/>
          </w:tcPr>
          <w:p>
            <w:pPr>
              <w:widowControl/>
              <w:jc w:val="center"/>
              <w:rPr>
                <w:rFonts w:ascii="仿宋_GB2312" w:hAnsi="宋体" w:eastAsia="仿宋_GB2312"/>
                <w:color w:val="000000"/>
                <w:sz w:val="18"/>
                <w:szCs w:val="18"/>
              </w:rPr>
            </w:pPr>
            <w:r>
              <w:rPr>
                <w:rFonts w:ascii="仿宋_GB2312" w:hAnsi="宋体" w:eastAsia="仿宋_GB2312"/>
                <w:color w:val="000000"/>
                <w:sz w:val="18"/>
                <w:szCs w:val="18"/>
              </w:rPr>
              <w:t>√</w:t>
            </w:r>
          </w:p>
        </w:tc>
        <w:tc>
          <w:tcPr>
            <w:tcW w:w="720" w:type="dxa"/>
            <w:shd w:val="clear" w:color="auto" w:fill="auto"/>
            <w:vAlign w:val="center"/>
          </w:tcPr>
          <w:p>
            <w:pPr>
              <w:widowControl/>
              <w:jc w:val="center"/>
              <w:rPr>
                <w:rFonts w:ascii="仿宋_GB2312" w:hAnsi="宋体" w:eastAsia="仿宋_GB2312"/>
                <w:color w:val="000000"/>
                <w:sz w:val="18"/>
                <w:szCs w:val="18"/>
              </w:rPr>
            </w:pPr>
          </w:p>
        </w:tc>
      </w:tr>
    </w:tbl>
    <w:p>
      <w:pPr>
        <w:jc w:val="center"/>
        <w:rPr>
          <w:rFonts w:hint="eastAsia" w:ascii="方正小标宋_GBK" w:hAnsi="方正小标宋_GBK" w:eastAsia="方正小标宋_GBK"/>
          <w:kern w:val="44"/>
          <w:sz w:val="30"/>
          <w:szCs w:val="44"/>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ZmExNDAyZWZhMWE1YjNjYTkwYzhiMTYxOGRhNWEifQ=="/>
  </w:docVars>
  <w:rsids>
    <w:rsidRoot w:val="00416393"/>
    <w:rsid w:val="00146120"/>
    <w:rsid w:val="00193DB9"/>
    <w:rsid w:val="001E6D63"/>
    <w:rsid w:val="002967AA"/>
    <w:rsid w:val="002E0878"/>
    <w:rsid w:val="003B2C77"/>
    <w:rsid w:val="004077CB"/>
    <w:rsid w:val="00416393"/>
    <w:rsid w:val="00612901"/>
    <w:rsid w:val="008438B0"/>
    <w:rsid w:val="00902A01"/>
    <w:rsid w:val="00947298"/>
    <w:rsid w:val="00A41EEC"/>
    <w:rsid w:val="00FA002F"/>
    <w:rsid w:val="7D4F714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iPriority w:val="0"/>
    <w:pPr>
      <w:jc w:val="left"/>
    </w:pPr>
  </w:style>
  <w:style w:type="paragraph" w:styleId="4">
    <w:name w:val="Balloon Text"/>
    <w:basedOn w:val="1"/>
    <w:link w:val="19"/>
    <w:semiHidden/>
    <w:uiPriority w:val="0"/>
    <w:rPr>
      <w:sz w:val="18"/>
      <w:szCs w:val="18"/>
    </w:rPr>
  </w:style>
  <w:style w:type="paragraph" w:styleId="5">
    <w:name w:val="footer"/>
    <w:basedOn w:val="1"/>
    <w:link w:val="22"/>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semiHidden/>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uiPriority w:val="0"/>
  </w:style>
  <w:style w:type="character" w:styleId="13">
    <w:name w:val="Hyperlink"/>
    <w:uiPriority w:val="0"/>
    <w:rPr>
      <w:color w:val="0000FF"/>
      <w:u w:val="single"/>
    </w:rPr>
  </w:style>
  <w:style w:type="character" w:styleId="14">
    <w:name w:val="annotation reference"/>
    <w:semiHidden/>
    <w:uiPriority w:val="0"/>
    <w:rPr>
      <w:sz w:val="21"/>
      <w:szCs w:val="21"/>
    </w:rPr>
  </w:style>
  <w:style w:type="character" w:customStyle="1" w:styleId="15">
    <w:name w:val="标题 1 字符"/>
    <w:basedOn w:val="11"/>
    <w:link w:val="2"/>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uiPriority w:val="0"/>
    <w:rPr>
      <w:rFonts w:ascii="Calibri" w:hAnsi="Calibri" w:eastAsia="宋体" w:cs="Times New Roman"/>
    </w:rPr>
  </w:style>
  <w:style w:type="character" w:customStyle="1" w:styleId="18">
    <w:name w:val="批注主题 字符"/>
    <w:basedOn w:val="17"/>
    <w:link w:val="8"/>
    <w:semiHidden/>
    <w:uiPriority w:val="0"/>
    <w:rPr>
      <w:rFonts w:ascii="Calibri" w:hAnsi="Calibri" w:eastAsia="宋体" w:cs="Times New Roman"/>
      <w:b/>
      <w:bCs/>
    </w:rPr>
  </w:style>
  <w:style w:type="character" w:customStyle="1" w:styleId="19">
    <w:name w:val="批注框文本 字符"/>
    <w:basedOn w:val="11"/>
    <w:link w:val="4"/>
    <w:semiHidden/>
    <w:uiPriority w:val="0"/>
    <w:rPr>
      <w:rFonts w:ascii="Calibri" w:hAnsi="Calibri" w:eastAsia="宋体" w:cs="Times New Roman"/>
      <w:sz w:val="18"/>
      <w:szCs w:val="18"/>
    </w:rPr>
  </w:style>
  <w:style w:type="paragraph" w:customStyle="1" w:styleId="20">
    <w:name w:val="列出段落1"/>
    <w:basedOn w:val="1"/>
    <w:uiPriority w:val="0"/>
    <w:pPr>
      <w:ind w:firstLine="420" w:firstLineChars="200"/>
    </w:pPr>
  </w:style>
  <w:style w:type="character" w:customStyle="1" w:styleId="21">
    <w:name w:val="页眉 字符"/>
    <w:basedOn w:val="11"/>
    <w:link w:val="6"/>
    <w:uiPriority w:val="0"/>
    <w:rPr>
      <w:rFonts w:ascii="Calibri" w:hAnsi="Calibri" w:eastAsia="宋体" w:cs="Times New Roman"/>
      <w:sz w:val="18"/>
      <w:szCs w:val="18"/>
    </w:rPr>
  </w:style>
  <w:style w:type="character" w:customStyle="1" w:styleId="22">
    <w:name w:val="页脚 字符"/>
    <w:basedOn w:val="11"/>
    <w:link w:val="5"/>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6962F-E39B-42B4-824C-D4C34D747D97}">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271</Words>
  <Characters>1551</Characters>
  <Lines>12</Lines>
  <Paragraphs>3</Paragraphs>
  <TotalTime>1</TotalTime>
  <ScaleCrop>false</ScaleCrop>
  <LinksUpToDate>false</LinksUpToDate>
  <CharactersWithSpaces>1819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2020-03-06T06:59:00Z</dcterms:created>
  <dc:creator>tai yuzhu</dc:creator>
  <cp:lastModifiedBy>～鱼儿～</cp:lastModifiedBy>
  <dcterms:modified xsi:type="dcterms:W3CDTF">2024-03-13T01:30:49Z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D4CB5E99B8F34FEA8E3CF16C2162689A_12</vt:lpwstr>
  </property>
</Properties>
</file>