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t>（十二）农村集体土地征收基层政务公开标准目录</w:t>
      </w:r>
    </w:p>
    <w:tbl>
      <w:tblPr>
        <w:tblStyle w:val="9"/>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786" w:type="dxa"/>
            <w:vMerge w:val="continue"/>
            <w:vAlign w:val="center"/>
          </w:tcPr>
          <w:p>
            <w:pPr>
              <w:widowControl/>
              <w:jc w:val="left"/>
              <w:rPr>
                <w:rFonts w:ascii="黑体" w:hAnsi="宋体" w:eastAsia="黑体" w:cs="宋体"/>
                <w:kern w:val="0"/>
                <w:sz w:val="22"/>
              </w:rPr>
            </w:pPr>
          </w:p>
        </w:tc>
        <w:tc>
          <w:tcPr>
            <w:tcW w:w="554"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pPr>
              <w:widowControl/>
              <w:spacing w:line="24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980"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■政务服务中心</w:t>
            </w:r>
          </w:p>
          <w:p>
            <w:pPr>
              <w:widowControl/>
              <w:spacing w:line="240" w:lineRule="exact"/>
              <w:rPr>
                <w:rFonts w:hint="eastAsia" w:ascii="仿宋_GB2312" w:eastAsia="仿宋_GB2312"/>
                <w:color w:val="000000"/>
                <w:sz w:val="18"/>
                <w:szCs w:val="18"/>
              </w:rPr>
            </w:pPr>
          </w:p>
        </w:tc>
        <w:tc>
          <w:tcPr>
            <w:tcW w:w="554" w:type="dxa"/>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pPr>
              <w:widowControl/>
              <w:spacing w:line="240" w:lineRule="exact"/>
              <w:jc w:val="center"/>
              <w:rPr>
                <w:rFonts w:hint="eastAsia" w:ascii="仿宋_GB2312" w:eastAsia="仿宋_GB2312"/>
                <w:color w:val="000000"/>
                <w:sz w:val="18"/>
                <w:szCs w:val="18"/>
              </w:rPr>
            </w:pPr>
          </w:p>
        </w:tc>
        <w:tc>
          <w:tcPr>
            <w:tcW w:w="551" w:type="dxa"/>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240" w:lineRule="exact"/>
              <w:jc w:val="center"/>
              <w:rPr>
                <w:rFonts w:hint="eastAsia" w:ascii="仿宋_GB2312" w:eastAsia="仿宋_GB2312"/>
                <w:color w:val="000000"/>
                <w:sz w:val="18"/>
                <w:szCs w:val="18"/>
              </w:rPr>
            </w:pPr>
          </w:p>
        </w:tc>
        <w:tc>
          <w:tcPr>
            <w:tcW w:w="720" w:type="dxa"/>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240" w:lineRule="exact"/>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pPr>
              <w:spacing w:line="240" w:lineRule="exact"/>
              <w:rPr>
                <w:rFonts w:hint="eastAsia" w:ascii="仿宋_GB2312" w:eastAsia="仿宋_GB2312"/>
                <w:color w:val="000000"/>
                <w:sz w:val="18"/>
                <w:szCs w:val="18"/>
              </w:rPr>
            </w:pPr>
          </w:p>
        </w:tc>
        <w:tc>
          <w:tcPr>
            <w:tcW w:w="1620" w:type="dxa"/>
            <w:vMerge w:val="restart"/>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县（市、区）自然资源主管部门以及负责实施农村集体土地征收的有关部门（含乡镇政府等）</w:t>
            </w:r>
          </w:p>
        </w:tc>
        <w:tc>
          <w:tcPr>
            <w:tcW w:w="1786" w:type="dxa"/>
            <w:vMerge w:val="restart"/>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▲征地信息公开平台</w:t>
            </w:r>
          </w:p>
          <w:p>
            <w:pPr>
              <w:widowControl/>
              <w:spacing w:line="240" w:lineRule="exact"/>
              <w:rPr>
                <w:rFonts w:hint="eastAsia" w:ascii="仿宋_GB2312" w:eastAsia="仿宋_GB2312"/>
                <w:color w:val="000000"/>
                <w:sz w:val="18"/>
                <w:szCs w:val="18"/>
              </w:rPr>
            </w:pPr>
          </w:p>
        </w:tc>
        <w:tc>
          <w:tcPr>
            <w:tcW w:w="554" w:type="dxa"/>
            <w:shd w:val="clear" w:color="auto" w:fill="auto"/>
            <w:vAlign w:val="center"/>
          </w:tcPr>
          <w:p>
            <w:pPr>
              <w:widowControl/>
              <w:spacing w:line="240" w:lineRule="exact"/>
              <w:jc w:val="center"/>
              <w:rPr>
                <w:rFonts w:hint="eastAsia" w:ascii="仿宋_GB2312" w:eastAsia="仿宋_GB2312"/>
                <w:color w:val="000000"/>
                <w:sz w:val="18"/>
                <w:szCs w:val="18"/>
              </w:rPr>
            </w:pPr>
          </w:p>
        </w:tc>
        <w:tc>
          <w:tcPr>
            <w:tcW w:w="875" w:type="dxa"/>
            <w:shd w:val="clear" w:color="auto" w:fill="auto"/>
            <w:vAlign w:val="center"/>
          </w:tcPr>
          <w:p>
            <w:pPr>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pPr>
              <w:widowControl/>
              <w:spacing w:line="240" w:lineRule="exact"/>
              <w:jc w:val="center"/>
              <w:rPr>
                <w:rFonts w:hint="eastAsia" w:ascii="仿宋_GB2312" w:eastAsia="仿宋_GB2312"/>
                <w:color w:val="000000"/>
                <w:sz w:val="18"/>
                <w:szCs w:val="18"/>
              </w:rPr>
            </w:pPr>
          </w:p>
        </w:tc>
        <w:tc>
          <w:tcPr>
            <w:tcW w:w="720" w:type="dxa"/>
            <w:vMerge w:val="restart"/>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hint="eastAsia" w:ascii="仿宋_GB2312" w:eastAsia="仿宋_GB2312"/>
                <w:color w:val="000000"/>
                <w:sz w:val="18"/>
                <w:szCs w:val="18"/>
              </w:rPr>
            </w:pPr>
          </w:p>
        </w:tc>
        <w:tc>
          <w:tcPr>
            <w:tcW w:w="720" w:type="dxa"/>
            <w:vMerge w:val="continue"/>
            <w:shd w:val="clear" w:color="auto" w:fill="auto"/>
            <w:vAlign w:val="center"/>
          </w:tcPr>
          <w:p>
            <w:pPr>
              <w:widowControl/>
              <w:spacing w:line="320" w:lineRule="exact"/>
              <w:jc w:val="center"/>
              <w:rPr>
                <w:rFonts w:hint="eastAsia" w:ascii="仿宋_GB2312" w:eastAsia="仿宋_GB2312"/>
                <w:color w:val="000000"/>
                <w:sz w:val="18"/>
                <w:szCs w:val="18"/>
              </w:rPr>
            </w:pPr>
          </w:p>
        </w:tc>
        <w:tc>
          <w:tcPr>
            <w:tcW w:w="2714" w:type="dxa"/>
            <w:vMerge w:val="continue"/>
            <w:vAlign w:val="center"/>
          </w:tcPr>
          <w:p>
            <w:pPr>
              <w:widowControl/>
              <w:jc w:val="left"/>
              <w:rPr>
                <w:rFonts w:hint="eastAsia" w:ascii="仿宋_GB2312" w:eastAsia="仿宋_GB2312"/>
                <w:color w:val="000000"/>
                <w:sz w:val="18"/>
                <w:szCs w:val="18"/>
              </w:rPr>
            </w:pPr>
          </w:p>
        </w:tc>
        <w:tc>
          <w:tcPr>
            <w:tcW w:w="1260" w:type="dxa"/>
            <w:vMerge w:val="continue"/>
            <w:vAlign w:val="center"/>
          </w:tcPr>
          <w:p>
            <w:pPr>
              <w:widowControl/>
              <w:rPr>
                <w:rFonts w:hint="eastAsia" w:ascii="仿宋_GB2312" w:eastAsia="仿宋_GB2312"/>
                <w:color w:val="000000"/>
                <w:sz w:val="18"/>
                <w:szCs w:val="18"/>
              </w:rPr>
            </w:pPr>
          </w:p>
        </w:tc>
        <w:tc>
          <w:tcPr>
            <w:tcW w:w="1980"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pPr>
              <w:widowControl/>
              <w:rPr>
                <w:rFonts w:hint="eastAsia" w:ascii="仿宋_GB2312" w:eastAsia="仿宋_GB2312"/>
                <w:color w:val="000000"/>
                <w:sz w:val="18"/>
                <w:szCs w:val="18"/>
              </w:rPr>
            </w:pPr>
          </w:p>
        </w:tc>
        <w:tc>
          <w:tcPr>
            <w:tcW w:w="1786" w:type="dxa"/>
            <w:vMerge w:val="continue"/>
            <w:vAlign w:val="center"/>
          </w:tcPr>
          <w:p>
            <w:pPr>
              <w:widowControl/>
              <w:rPr>
                <w:rFonts w:hint="eastAsia" w:ascii="仿宋_GB2312" w:eastAsia="仿宋_GB2312"/>
                <w:color w:val="000000"/>
                <w:sz w:val="18"/>
                <w:szCs w:val="18"/>
              </w:rPr>
            </w:pPr>
          </w:p>
        </w:tc>
        <w:tc>
          <w:tcPr>
            <w:tcW w:w="554" w:type="dxa"/>
            <w:shd w:val="clear" w:color="auto" w:fill="auto"/>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pPr>
              <w:jc w:val="center"/>
              <w:rPr>
                <w:rFonts w:hint="eastAsia" w:ascii="仿宋_GB2312" w:eastAsia="仿宋_GB2312"/>
                <w:color w:val="000000"/>
                <w:sz w:val="18"/>
                <w:szCs w:val="18"/>
              </w:rPr>
            </w:pPr>
          </w:p>
        </w:tc>
        <w:tc>
          <w:tcPr>
            <w:tcW w:w="551" w:type="dxa"/>
            <w:vMerge w:val="continue"/>
            <w:shd w:val="clear" w:color="auto" w:fill="auto"/>
            <w:vAlign w:val="center"/>
          </w:tcPr>
          <w:p>
            <w:pPr>
              <w:widowControl/>
              <w:spacing w:line="240" w:lineRule="exact"/>
              <w:jc w:val="center"/>
              <w:rPr>
                <w:rFonts w:hint="eastAsia" w:ascii="仿宋_GB2312" w:eastAsia="仿宋_GB2312"/>
                <w:color w:val="000000"/>
                <w:sz w:val="18"/>
                <w:szCs w:val="18"/>
              </w:rPr>
            </w:pPr>
          </w:p>
        </w:tc>
        <w:tc>
          <w:tcPr>
            <w:tcW w:w="720" w:type="dxa"/>
            <w:vMerge w:val="continue"/>
            <w:shd w:val="clear" w:color="auto" w:fill="auto"/>
            <w:vAlign w:val="center"/>
          </w:tcPr>
          <w:p>
            <w:pPr>
              <w:widowControl/>
              <w:spacing w:line="240" w:lineRule="exact"/>
              <w:jc w:val="center"/>
              <w:rPr>
                <w:rFonts w:hint="eastAsia" w:ascii="仿宋_GB2312" w:eastAsia="仿宋_GB2312"/>
                <w:color w:val="000000"/>
                <w:sz w:val="18"/>
                <w:szCs w:val="18"/>
              </w:rPr>
            </w:pPr>
          </w:p>
        </w:tc>
        <w:tc>
          <w:tcPr>
            <w:tcW w:w="720" w:type="dxa"/>
            <w:vMerge w:val="continue"/>
            <w:shd w:val="clear" w:color="auto" w:fill="auto"/>
            <w:vAlign w:val="center"/>
          </w:tcPr>
          <w:p>
            <w:pPr>
              <w:widowControl/>
              <w:spacing w:line="240" w:lineRule="exact"/>
              <w:jc w:val="center"/>
              <w:rPr>
                <w:rFonts w:hint="eastAsia" w:ascii="仿宋_GB2312" w:eastAsia="仿宋_GB2312"/>
                <w:color w:val="000000"/>
                <w:sz w:val="18"/>
                <w:szCs w:val="18"/>
              </w:rPr>
            </w:pPr>
          </w:p>
        </w:tc>
        <w:tc>
          <w:tcPr>
            <w:tcW w:w="720" w:type="dxa"/>
            <w:vMerge w:val="continue"/>
            <w:shd w:val="clear" w:color="auto" w:fill="auto"/>
            <w:vAlign w:val="center"/>
          </w:tcPr>
          <w:p>
            <w:pPr>
              <w:widowControl/>
              <w:spacing w:line="240" w:lineRule="exact"/>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shd w:val="clear" w:color="auto" w:fill="auto"/>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1.征收土地勘测调查表；</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2.地上附着物和青苗调查登记表；</w:t>
            </w:r>
          </w:p>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pPr>
              <w:widowControl/>
              <w:rPr>
                <w:rFonts w:ascii="仿宋_GB2312" w:eastAsia="仿宋_GB2312"/>
                <w:color w:val="000000"/>
                <w:sz w:val="18"/>
                <w:szCs w:val="18"/>
              </w:rPr>
            </w:pPr>
          </w:p>
        </w:tc>
        <w:tc>
          <w:tcPr>
            <w:tcW w:w="1260" w:type="dxa"/>
            <w:vMerge w:val="restart"/>
            <w:vAlign w:val="center"/>
          </w:tcPr>
          <w:p>
            <w:pPr>
              <w:widowControl/>
              <w:rPr>
                <w:rFonts w:ascii="仿宋_GB2312" w:eastAsia="仿宋_GB2312"/>
                <w:color w:val="000000"/>
                <w:sz w:val="18"/>
                <w:szCs w:val="18"/>
              </w:rPr>
            </w:pPr>
            <w:bookmarkStart w:id="0" w:name="_GoBack"/>
            <w:bookmarkEnd w:id="0"/>
            <w:r>
              <w:rPr>
                <w:rFonts w:hint="eastAsia" w:ascii="仿宋_GB2312" w:eastAsia="仿宋_GB2312"/>
                <w:color w:val="000000"/>
                <w:sz w:val="18"/>
                <w:szCs w:val="18"/>
                <w:lang w:eastAsia="zh-CN"/>
              </w:rPr>
              <w:t>《中华人民共和国土地管理法》</w:t>
            </w:r>
            <w:r>
              <w:rPr>
                <w:rFonts w:hint="eastAsia" w:ascii="仿宋_GB2312" w:eastAsia="仿宋_GB2312"/>
                <w:color w:val="000000"/>
                <w:sz w:val="18"/>
                <w:szCs w:val="18"/>
              </w:rPr>
              <w:t>、《国务院关于深化改革严格土地管理的决定》</w:t>
            </w:r>
          </w:p>
        </w:tc>
        <w:tc>
          <w:tcPr>
            <w:tcW w:w="1980" w:type="dxa"/>
            <w:vAlign w:val="center"/>
          </w:tcPr>
          <w:p>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Merge w:val="restart"/>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shd w:val="clear" w:color="auto" w:fill="auto"/>
            <w:vAlign w:val="center"/>
          </w:tcPr>
          <w:p>
            <w:pPr>
              <w:widowControl/>
              <w:jc w:val="center"/>
              <w:rPr>
                <w:rFonts w:ascii="仿宋_GB2312" w:eastAsia="仿宋_GB2312"/>
                <w:color w:val="000000"/>
                <w:sz w:val="18"/>
                <w:szCs w:val="18"/>
              </w:rPr>
            </w:pPr>
          </w:p>
        </w:tc>
        <w:tc>
          <w:tcPr>
            <w:tcW w:w="875" w:type="dxa"/>
            <w:shd w:val="clear" w:color="auto" w:fill="auto"/>
            <w:vAlign w:val="center"/>
          </w:tcPr>
          <w:p>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pPr>
              <w:widowControl/>
              <w:jc w:val="center"/>
              <w:rPr>
                <w:rFonts w:ascii="仿宋_GB2312" w:eastAsia="仿宋_GB2312"/>
                <w:color w:val="000000"/>
                <w:sz w:val="18"/>
                <w:szCs w:val="18"/>
              </w:rPr>
            </w:pP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hint="eastAsia" w:ascii="仿宋_GB2312" w:eastAsia="仿宋_GB2312"/>
                <w:color w:val="000000"/>
                <w:sz w:val="18"/>
                <w:szCs w:val="18"/>
              </w:rPr>
            </w:pPr>
          </w:p>
        </w:tc>
        <w:tc>
          <w:tcPr>
            <w:tcW w:w="720" w:type="dxa"/>
            <w:vMerge w:val="continue"/>
            <w:shd w:val="clear" w:color="auto" w:fill="auto"/>
            <w:vAlign w:val="center"/>
          </w:tcPr>
          <w:p>
            <w:pPr>
              <w:widowControl/>
              <w:spacing w:line="320" w:lineRule="exact"/>
              <w:jc w:val="center"/>
              <w:rPr>
                <w:rFonts w:hint="eastAsia" w:ascii="仿宋_GB2312" w:eastAsia="仿宋_GB2312"/>
                <w:color w:val="000000"/>
                <w:sz w:val="18"/>
                <w:szCs w:val="18"/>
              </w:rPr>
            </w:pPr>
          </w:p>
        </w:tc>
        <w:tc>
          <w:tcPr>
            <w:tcW w:w="2714" w:type="dxa"/>
            <w:vMerge w:val="continue"/>
            <w:vAlign w:val="center"/>
          </w:tcPr>
          <w:p>
            <w:pPr>
              <w:rPr>
                <w:rFonts w:hint="eastAsia"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pPr>
              <w:widowControl/>
              <w:spacing w:line="320" w:lineRule="exact"/>
              <w:jc w:val="center"/>
              <w:rPr>
                <w:rFonts w:hint="eastAsia" w:ascii="仿宋_GB2312" w:eastAsia="仿宋_GB2312"/>
                <w:color w:val="000000"/>
                <w:sz w:val="18"/>
                <w:szCs w:val="18"/>
              </w:rPr>
            </w:pPr>
          </w:p>
        </w:tc>
        <w:tc>
          <w:tcPr>
            <w:tcW w:w="1786" w:type="dxa"/>
            <w:vMerge w:val="continue"/>
            <w:vAlign w:val="center"/>
          </w:tcPr>
          <w:p>
            <w:pPr>
              <w:widowControl/>
              <w:rPr>
                <w:rFonts w:hint="eastAsia" w:ascii="仿宋_GB2312" w:eastAsia="仿宋_GB2312"/>
                <w:color w:val="000000"/>
                <w:sz w:val="18"/>
                <w:szCs w:val="18"/>
              </w:rPr>
            </w:pPr>
          </w:p>
        </w:tc>
        <w:tc>
          <w:tcPr>
            <w:tcW w:w="554"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pPr>
              <w:jc w:val="center"/>
              <w:rPr>
                <w:rFonts w:hint="eastAsia" w:ascii="仿宋_GB2312" w:eastAsia="仿宋_GB2312"/>
                <w:color w:val="000000"/>
                <w:sz w:val="18"/>
                <w:szCs w:val="18"/>
              </w:rPr>
            </w:pPr>
          </w:p>
        </w:tc>
        <w:tc>
          <w:tcPr>
            <w:tcW w:w="551" w:type="dxa"/>
            <w:vMerge w:val="continue"/>
            <w:shd w:val="clear" w:color="auto" w:fill="auto"/>
            <w:vAlign w:val="center"/>
          </w:tcPr>
          <w:p>
            <w:pPr>
              <w:widowControl/>
              <w:jc w:val="center"/>
              <w:rPr>
                <w:rFonts w:hint="eastAsia" w:ascii="仿宋_GB2312" w:eastAsia="仿宋_GB2312"/>
                <w:color w:val="000000"/>
                <w:sz w:val="18"/>
                <w:szCs w:val="18"/>
              </w:rPr>
            </w:pP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hint="eastAsia" w:ascii="仿宋_GB2312" w:eastAsia="仿宋_GB2312"/>
                <w:color w:val="000000"/>
                <w:sz w:val="18"/>
                <w:szCs w:val="18"/>
              </w:rPr>
            </w:pPr>
          </w:p>
        </w:tc>
        <w:tc>
          <w:tcPr>
            <w:tcW w:w="720" w:type="dxa"/>
            <w:vMerge w:val="continue"/>
            <w:shd w:val="clear" w:color="auto" w:fill="auto"/>
            <w:vAlign w:val="center"/>
          </w:tcPr>
          <w:p>
            <w:pPr>
              <w:widowControl/>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hint="eastAsia" w:ascii="仿宋_GB2312" w:eastAsia="仿宋_GB2312"/>
                <w:color w:val="000000"/>
                <w:sz w:val="18"/>
                <w:szCs w:val="18"/>
              </w:rPr>
            </w:pPr>
            <w:r>
              <w:rPr>
                <w:rFonts w:hint="eastAsia" w:ascii="仿宋_GB2312" w:eastAsia="仿宋_GB2312"/>
                <w:color w:val="000000"/>
                <w:sz w:val="18"/>
                <w:szCs w:val="18"/>
              </w:rPr>
              <w:t>1.《听证通知书》；</w:t>
            </w:r>
          </w:p>
          <w:p>
            <w:pPr>
              <w:rPr>
                <w:rFonts w:hint="eastAsia" w:ascii="仿宋_GB2312" w:eastAsia="仿宋_GB2312"/>
                <w:color w:val="000000"/>
                <w:sz w:val="18"/>
                <w:szCs w:val="18"/>
              </w:rPr>
            </w:pPr>
            <w:r>
              <w:rPr>
                <w:rFonts w:hint="eastAsia" w:ascii="仿宋_GB2312" w:eastAsia="仿宋_GB2312"/>
                <w:color w:val="000000"/>
                <w:sz w:val="18"/>
                <w:szCs w:val="18"/>
              </w:rPr>
              <w:t>2.听证处理意见；</w:t>
            </w:r>
          </w:p>
          <w:p>
            <w:pPr>
              <w:rPr>
                <w:rFonts w:hint="eastAsia"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Merge w:val="restart"/>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shd w:val="clear" w:color="auto" w:fill="auto"/>
            <w:vAlign w:val="center"/>
          </w:tcPr>
          <w:p>
            <w:pPr>
              <w:widowControl/>
              <w:jc w:val="center"/>
              <w:rPr>
                <w:rFonts w:ascii="仿宋_GB2312" w:eastAsia="仿宋_GB2312"/>
                <w:color w:val="000000"/>
                <w:sz w:val="18"/>
                <w:szCs w:val="18"/>
              </w:rPr>
            </w:pPr>
          </w:p>
        </w:tc>
        <w:tc>
          <w:tcPr>
            <w:tcW w:w="87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pPr>
              <w:widowControl/>
              <w:jc w:val="center"/>
              <w:rPr>
                <w:rFonts w:ascii="仿宋_GB2312" w:eastAsia="仿宋_GB2312"/>
                <w:color w:val="000000"/>
                <w:sz w:val="18"/>
                <w:szCs w:val="18"/>
              </w:rPr>
            </w:pP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spacing w:line="320" w:lineRule="exact"/>
              <w:jc w:val="center"/>
              <w:rPr>
                <w:rFonts w:ascii="仿宋_GB2312" w:eastAsia="仿宋_GB2312"/>
                <w:color w:val="000000"/>
                <w:sz w:val="18"/>
                <w:szCs w:val="18"/>
              </w:rPr>
            </w:pPr>
          </w:p>
        </w:tc>
        <w:tc>
          <w:tcPr>
            <w:tcW w:w="2714" w:type="dxa"/>
            <w:vMerge w:val="continue"/>
            <w:vAlign w:val="center"/>
          </w:tcPr>
          <w:p>
            <w:pPr>
              <w:widowControl/>
              <w:rPr>
                <w:rFonts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pPr>
              <w:widowControl/>
              <w:spacing w:line="320" w:lineRule="exact"/>
              <w:jc w:val="center"/>
              <w:rPr>
                <w:rFonts w:ascii="仿宋_GB2312" w:eastAsia="仿宋_GB2312"/>
                <w:color w:val="000000"/>
                <w:sz w:val="18"/>
                <w:szCs w:val="18"/>
              </w:rPr>
            </w:pPr>
          </w:p>
        </w:tc>
        <w:tc>
          <w:tcPr>
            <w:tcW w:w="1786" w:type="dxa"/>
            <w:vMerge w:val="continue"/>
            <w:vAlign w:val="center"/>
          </w:tcPr>
          <w:p>
            <w:pPr>
              <w:widowControl/>
              <w:rPr>
                <w:rFonts w:ascii="仿宋_GB2312" w:eastAsia="仿宋_GB2312"/>
                <w:color w:val="000000"/>
                <w:sz w:val="18"/>
                <w:szCs w:val="18"/>
              </w:rPr>
            </w:pPr>
          </w:p>
        </w:tc>
        <w:tc>
          <w:tcPr>
            <w:tcW w:w="554"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pPr>
              <w:jc w:val="center"/>
              <w:rPr>
                <w:rFonts w:ascii="仿宋_GB2312" w:eastAsia="仿宋_GB2312"/>
                <w:color w:val="000000"/>
                <w:sz w:val="18"/>
                <w:szCs w:val="18"/>
              </w:rPr>
            </w:pPr>
          </w:p>
        </w:tc>
        <w:tc>
          <w:tcPr>
            <w:tcW w:w="551"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vMerge w:val="continue"/>
            <w:shd w:val="clear" w:color="auto" w:fill="auto"/>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1.县（市、区）人民政府建设用地请示；</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2.县（市、区）自然资源主管部门建设用地审查意见；</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、建设用地审查报批有关规定。</w:t>
            </w:r>
          </w:p>
        </w:tc>
        <w:tc>
          <w:tcPr>
            <w:tcW w:w="1980" w:type="dxa"/>
            <w:vAlign w:val="center"/>
          </w:tcPr>
          <w:p>
            <w:pPr>
              <w:widowControl/>
              <w:spacing w:before="156" w:beforeLines="50" w:after="156"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786"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▲征地信息公开平台</w:t>
            </w:r>
          </w:p>
          <w:p>
            <w:pPr>
              <w:widowControl/>
              <w:spacing w:line="260" w:lineRule="exact"/>
              <w:rPr>
                <w:rFonts w:ascii="仿宋_GB2312" w:eastAsia="仿宋_GB2312"/>
                <w:color w:val="000000"/>
                <w:sz w:val="18"/>
                <w:szCs w:val="18"/>
              </w:rPr>
            </w:pPr>
          </w:p>
        </w:tc>
        <w:tc>
          <w:tcPr>
            <w:tcW w:w="554"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pPr>
              <w:widowControl/>
              <w:spacing w:line="300" w:lineRule="exact"/>
              <w:jc w:val="center"/>
              <w:rPr>
                <w:rFonts w:ascii="仿宋_GB2312" w:eastAsia="仿宋_GB2312"/>
                <w:color w:val="000000"/>
                <w:sz w:val="18"/>
                <w:szCs w:val="18"/>
              </w:rPr>
            </w:pPr>
          </w:p>
        </w:tc>
        <w:tc>
          <w:tcPr>
            <w:tcW w:w="551"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shd w:val="clear" w:color="auto" w:fill="auto"/>
            <w:vAlign w:val="center"/>
          </w:tcPr>
          <w:p>
            <w:pPr>
              <w:widowControl/>
              <w:spacing w:line="300" w:lineRule="exact"/>
              <w:jc w:val="center"/>
              <w:rPr>
                <w:rFonts w:ascii="仿宋_GB2312" w:eastAsia="仿宋_GB2312"/>
                <w:color w:val="000000"/>
                <w:sz w:val="18"/>
                <w:szCs w:val="18"/>
              </w:rPr>
            </w:pP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4.地方人民政府转发用地批复文件；</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pPr>
              <w:widowControl/>
              <w:spacing w:line="26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《中华人民共和国土地管理法》</w:t>
            </w: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p>
          <w:p>
            <w:pPr>
              <w:widowControl/>
              <w:spacing w:line="260" w:lineRule="exact"/>
              <w:jc w:val="left"/>
              <w:rPr>
                <w:rFonts w:ascii="仿宋_GB2312" w:eastAsia="仿宋_GB2312"/>
                <w:color w:val="000000"/>
                <w:sz w:val="18"/>
                <w:szCs w:val="18"/>
              </w:rPr>
            </w:pPr>
          </w:p>
        </w:tc>
        <w:tc>
          <w:tcPr>
            <w:tcW w:w="198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786"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pPr>
              <w:widowControl/>
              <w:spacing w:line="300" w:lineRule="exact"/>
              <w:jc w:val="center"/>
              <w:rPr>
                <w:rFonts w:ascii="仿宋_GB2312" w:eastAsia="仿宋_GB2312"/>
                <w:color w:val="000000"/>
                <w:sz w:val="18"/>
                <w:szCs w:val="18"/>
              </w:rPr>
            </w:pPr>
          </w:p>
        </w:tc>
        <w:tc>
          <w:tcPr>
            <w:tcW w:w="551"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《中华人民共和国土地管理法》</w:t>
            </w:r>
            <w:r>
              <w:rPr>
                <w:rFonts w:hint="eastAsia" w:ascii="仿宋_GB2312" w:eastAsia="仿宋_GB2312"/>
                <w:color w:val="000000"/>
                <w:sz w:val="18"/>
                <w:szCs w:val="18"/>
              </w:rPr>
              <w:t>、《征收土地公告办法》</w:t>
            </w:r>
          </w:p>
        </w:tc>
        <w:tc>
          <w:tcPr>
            <w:tcW w:w="198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pPr>
              <w:widowControl/>
              <w:spacing w:line="300" w:lineRule="exact"/>
              <w:jc w:val="center"/>
              <w:rPr>
                <w:rFonts w:ascii="仿宋_GB2312" w:eastAsia="仿宋_GB2312"/>
                <w:color w:val="000000"/>
                <w:sz w:val="18"/>
                <w:szCs w:val="18"/>
              </w:rPr>
            </w:pPr>
          </w:p>
        </w:tc>
        <w:tc>
          <w:tcPr>
            <w:tcW w:w="551"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shd w:val="clear" w:color="auto" w:fill="auto"/>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征地补偿登记汇总表。</w:t>
            </w:r>
          </w:p>
          <w:p>
            <w:pPr>
              <w:rPr>
                <w:rFonts w:hint="eastAsia"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pPr>
              <w:widowControl/>
              <w:spacing w:line="32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《中华人民共和国土地管理法》</w:t>
            </w: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 xml:space="preserve">村公示栏（电子屏）  </w:t>
            </w:r>
          </w:p>
        </w:tc>
        <w:tc>
          <w:tcPr>
            <w:tcW w:w="554" w:type="dxa"/>
            <w:shd w:val="clear" w:color="auto" w:fill="auto"/>
            <w:vAlign w:val="center"/>
          </w:tcPr>
          <w:p>
            <w:pPr>
              <w:widowControl/>
              <w:jc w:val="center"/>
              <w:rPr>
                <w:rFonts w:ascii="仿宋_GB2312" w:eastAsia="仿宋_GB2312"/>
                <w:color w:val="000000"/>
                <w:sz w:val="18"/>
                <w:szCs w:val="18"/>
              </w:rPr>
            </w:pPr>
          </w:p>
        </w:tc>
        <w:tc>
          <w:tcPr>
            <w:tcW w:w="87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shd w:val="clear" w:color="auto" w:fill="auto"/>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p>
        </w:tc>
        <w:tc>
          <w:tcPr>
            <w:tcW w:w="720" w:type="dxa"/>
            <w:shd w:val="clear" w:color="auto" w:fill="auto"/>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shd w:val="clear" w:color="auto" w:fill="auto"/>
            <w:vAlign w:val="center"/>
          </w:tcPr>
          <w:p>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pPr>
              <w:rPr>
                <w:rFonts w:hint="eastAsia"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pPr>
              <w:rPr>
                <w:rFonts w:hint="eastAsia"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pPr>
              <w:rPr>
                <w:rFonts w:hint="eastAsia"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pPr>
              <w:rPr>
                <w:rFonts w:hint="eastAsia" w:ascii="仿宋_GB2312" w:eastAsia="仿宋_GB2312"/>
                <w:color w:val="000000"/>
                <w:sz w:val="18"/>
                <w:szCs w:val="18"/>
              </w:rPr>
            </w:pPr>
            <w:r>
              <w:rPr>
                <w:rFonts w:hint="eastAsia" w:ascii="仿宋_GB2312" w:eastAsia="仿宋_GB2312"/>
                <w:color w:val="000000"/>
                <w:sz w:val="18"/>
                <w:szCs w:val="18"/>
              </w:rPr>
              <w:t>5.农业人员安置具体途径；</w:t>
            </w:r>
          </w:p>
          <w:p>
            <w:pPr>
              <w:rPr>
                <w:rFonts w:hint="eastAsia" w:ascii="仿宋_GB2312" w:eastAsia="仿宋_GB2312"/>
                <w:color w:val="000000"/>
                <w:sz w:val="18"/>
                <w:szCs w:val="18"/>
              </w:rPr>
            </w:pPr>
            <w:r>
              <w:rPr>
                <w:rFonts w:hint="eastAsia" w:ascii="仿宋_GB2312" w:eastAsia="仿宋_GB2312"/>
                <w:color w:val="000000"/>
                <w:sz w:val="18"/>
                <w:szCs w:val="18"/>
              </w:rPr>
              <w:t>6.其他有关征地补偿、安置的具体措施；</w:t>
            </w:r>
          </w:p>
          <w:p>
            <w:pPr>
              <w:rPr>
                <w:rFonts w:hint="eastAsia" w:ascii="仿宋_GB2312" w:eastAsia="仿宋_GB2312"/>
                <w:color w:val="000000"/>
                <w:sz w:val="18"/>
                <w:szCs w:val="18"/>
              </w:rPr>
            </w:pPr>
            <w:r>
              <w:rPr>
                <w:rFonts w:hint="eastAsia" w:ascii="仿宋_GB2312" w:eastAsia="仿宋_GB2312"/>
                <w:color w:val="000000"/>
                <w:sz w:val="18"/>
                <w:szCs w:val="18"/>
              </w:rPr>
              <w:t>7.听证等救济途径；</w:t>
            </w:r>
          </w:p>
          <w:p>
            <w:pPr>
              <w:rPr>
                <w:rFonts w:hint="eastAsia"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公示结束后，转为依申请公开。</w:t>
            </w:r>
          </w:p>
          <w:p>
            <w:pPr>
              <w:widowControl/>
              <w:spacing w:line="320" w:lineRule="exact"/>
              <w:rPr>
                <w:rFonts w:hint="eastAsia" w:ascii="仿宋_GB2312" w:eastAsia="仿宋_GB2312"/>
                <w:color w:val="000000"/>
                <w:sz w:val="18"/>
                <w:szCs w:val="18"/>
              </w:rPr>
            </w:pPr>
          </w:p>
        </w:tc>
        <w:tc>
          <w:tcPr>
            <w:tcW w:w="1620"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hint="eastAsia" w:ascii="仿宋_GB2312" w:eastAsia="仿宋_GB2312"/>
                <w:color w:val="000000"/>
                <w:sz w:val="18"/>
                <w:szCs w:val="18"/>
              </w:rPr>
            </w:pPr>
          </w:p>
        </w:tc>
        <w:tc>
          <w:tcPr>
            <w:tcW w:w="554" w:type="dxa"/>
            <w:shd w:val="clear" w:color="auto" w:fill="auto"/>
            <w:vAlign w:val="center"/>
          </w:tcPr>
          <w:p>
            <w:pPr>
              <w:widowControl/>
              <w:jc w:val="center"/>
              <w:rPr>
                <w:rFonts w:ascii="仿宋_GB2312" w:eastAsia="仿宋_GB2312"/>
                <w:color w:val="000000"/>
                <w:sz w:val="18"/>
                <w:szCs w:val="18"/>
              </w:rPr>
            </w:pPr>
          </w:p>
        </w:tc>
        <w:tc>
          <w:tcPr>
            <w:tcW w:w="875" w:type="dxa"/>
            <w:shd w:val="clear" w:color="auto" w:fill="auto"/>
            <w:vAlign w:val="center"/>
          </w:tcPr>
          <w:p>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shd w:val="clear" w:color="auto" w:fill="auto"/>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p>
        </w:tc>
        <w:tc>
          <w:tcPr>
            <w:tcW w:w="720" w:type="dxa"/>
            <w:shd w:val="clear" w:color="auto" w:fill="auto"/>
            <w:vAlign w:val="center"/>
          </w:tcPr>
          <w:p>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shd w:val="clear" w:color="auto" w:fill="auto"/>
            <w:vAlign w:val="center"/>
          </w:tcPr>
          <w:p>
            <w:pPr>
              <w:widowControl/>
              <w:spacing w:line="32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hint="eastAsia" w:ascii="仿宋_GB2312" w:eastAsia="仿宋_GB2312"/>
                <w:color w:val="000000"/>
                <w:sz w:val="18"/>
                <w:szCs w:val="18"/>
              </w:rPr>
            </w:pPr>
            <w:r>
              <w:rPr>
                <w:rFonts w:hint="eastAsia" w:ascii="仿宋_GB2312" w:eastAsia="仿宋_GB2312"/>
                <w:color w:val="000000"/>
                <w:sz w:val="18"/>
                <w:szCs w:val="18"/>
              </w:rPr>
              <w:t>1.《听证通知书》；</w:t>
            </w:r>
          </w:p>
          <w:p>
            <w:pPr>
              <w:rPr>
                <w:rFonts w:hint="eastAsia"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Align w:val="center"/>
          </w:tcPr>
          <w:p>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pPr>
              <w:widowControl/>
              <w:rPr>
                <w:rFonts w:ascii="仿宋_GB2312" w:eastAsia="仿宋_GB2312"/>
                <w:color w:val="000000"/>
                <w:sz w:val="18"/>
                <w:szCs w:val="18"/>
              </w:rPr>
            </w:pPr>
          </w:p>
        </w:tc>
        <w:tc>
          <w:tcPr>
            <w:tcW w:w="554" w:type="dxa"/>
            <w:shd w:val="clear" w:color="auto" w:fill="auto"/>
            <w:vAlign w:val="center"/>
          </w:tcPr>
          <w:p>
            <w:pPr>
              <w:widowControl/>
              <w:jc w:val="center"/>
              <w:rPr>
                <w:rFonts w:ascii="仿宋_GB2312" w:eastAsia="仿宋_GB2312"/>
                <w:color w:val="000000"/>
                <w:sz w:val="18"/>
                <w:szCs w:val="18"/>
              </w:rPr>
            </w:pPr>
          </w:p>
        </w:tc>
        <w:tc>
          <w:tcPr>
            <w:tcW w:w="87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shd w:val="clear" w:color="auto" w:fill="auto"/>
            <w:vAlign w:val="center"/>
          </w:tcPr>
          <w:p>
            <w:pPr>
              <w:widowControl/>
              <w:jc w:val="center"/>
              <w:rPr>
                <w:rFonts w:ascii="仿宋_GB2312" w:eastAsia="仿宋_GB2312"/>
                <w:color w:val="000000"/>
                <w:sz w:val="18"/>
                <w:szCs w:val="18"/>
              </w:rPr>
            </w:pPr>
          </w:p>
        </w:tc>
        <w:tc>
          <w:tcPr>
            <w:tcW w:w="720" w:type="dxa"/>
            <w:shd w:val="clear" w:color="auto" w:fill="auto"/>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征地补偿费用支付凭证。</w:t>
            </w:r>
          </w:p>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、《征收土地公告办法》</w:t>
            </w:r>
          </w:p>
          <w:p>
            <w:pPr>
              <w:widowControl/>
              <w:spacing w:line="320" w:lineRule="exact"/>
              <w:rPr>
                <w:rFonts w:ascii="仿宋_GB2312" w:eastAsia="仿宋_GB2312"/>
                <w:color w:val="000000"/>
                <w:sz w:val="18"/>
                <w:szCs w:val="18"/>
              </w:rPr>
            </w:pP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shd w:val="clear" w:color="auto" w:fill="auto"/>
            <w:vAlign w:val="center"/>
          </w:tcPr>
          <w:p>
            <w:pPr>
              <w:widowControl/>
              <w:jc w:val="center"/>
              <w:rPr>
                <w:rFonts w:ascii="仿宋_GB2312" w:eastAsia="仿宋_GB2312"/>
                <w:color w:val="000000"/>
                <w:sz w:val="18"/>
                <w:szCs w:val="18"/>
              </w:rPr>
            </w:pPr>
          </w:p>
        </w:tc>
        <w:tc>
          <w:tcPr>
            <w:tcW w:w="87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widowControl/>
              <w:jc w:val="center"/>
              <w:rPr>
                <w:rFonts w:ascii="仿宋_GB2312" w:eastAsia="仿宋_GB2312"/>
                <w:color w:val="000000"/>
                <w:sz w:val="18"/>
                <w:szCs w:val="18"/>
              </w:rPr>
            </w:pPr>
          </w:p>
        </w:tc>
        <w:tc>
          <w:tcPr>
            <w:tcW w:w="72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pPr>
        <w:jc w:val="left"/>
        <w:rPr>
          <w:rFonts w:hint="eastAsia" w:ascii="宋体" w:hAnsi="宋体"/>
          <w:sz w:val="18"/>
          <w:szCs w:val="18"/>
        </w:rPr>
      </w:pPr>
      <w:r>
        <w:rPr>
          <w:rFonts w:hint="eastAsia" w:ascii="宋体" w:hAnsi="宋体"/>
          <w:sz w:val="18"/>
          <w:szCs w:val="18"/>
        </w:rPr>
        <w:t>注：1.公开内容中标注为“*”标记的，为可选项，由各地根据实际情况确定。</w:t>
      </w:r>
    </w:p>
    <w:p>
      <w:pPr>
        <w:ind w:firstLine="360" w:firstLineChars="200"/>
        <w:jc w:val="left"/>
        <w:rPr>
          <w:rFonts w:ascii="宋体" w:hAnsi="宋体"/>
          <w:sz w:val="28"/>
          <w:szCs w:val="28"/>
        </w:rPr>
      </w:pPr>
      <w:r>
        <w:rPr>
          <w:rFonts w:hint="eastAsia" w:ascii="宋体" w:hAnsi="宋体"/>
          <w:sz w:val="18"/>
          <w:szCs w:val="18"/>
        </w:rPr>
        <w:t>2.公开渠道中标注为“■”标记的，为征地实施中的公开渠道；标注为“▲”标记的，为征地批准后的公开渠道。</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kZmExNDAyZWZhMWE1YjNjYTkwYzhiMTYxOGRhNWEifQ=="/>
  </w:docVars>
  <w:rsids>
    <w:rsidRoot w:val="00416393"/>
    <w:rsid w:val="00146120"/>
    <w:rsid w:val="00193DB9"/>
    <w:rsid w:val="001E6D63"/>
    <w:rsid w:val="002967AA"/>
    <w:rsid w:val="002E0878"/>
    <w:rsid w:val="003B2C77"/>
    <w:rsid w:val="004077CB"/>
    <w:rsid w:val="00416393"/>
    <w:rsid w:val="00612901"/>
    <w:rsid w:val="008438B0"/>
    <w:rsid w:val="00902A01"/>
    <w:rsid w:val="00A41EEC"/>
    <w:rsid w:val="00BB6CC6"/>
    <w:rsid w:val="00C3715A"/>
    <w:rsid w:val="00FA002F"/>
    <w:rsid w:val="1F7C2F6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semiHidden/>
    <w:qFormat/>
    <w:uiPriority w:val="0"/>
    <w:pPr>
      <w:jc w:val="left"/>
    </w:pPr>
  </w:style>
  <w:style w:type="paragraph" w:styleId="4">
    <w:name w:val="Balloon Text"/>
    <w:basedOn w:val="1"/>
    <w:link w:val="19"/>
    <w:autoRedefine/>
    <w:semiHidden/>
    <w:qFormat/>
    <w:uiPriority w:val="0"/>
    <w:rPr>
      <w:sz w:val="18"/>
      <w:szCs w:val="18"/>
    </w:rPr>
  </w:style>
  <w:style w:type="paragraph" w:styleId="5">
    <w:name w:val="footer"/>
    <w:basedOn w:val="1"/>
    <w:link w:val="22"/>
    <w:uiPriority w:val="0"/>
    <w:pPr>
      <w:tabs>
        <w:tab w:val="center" w:pos="4153"/>
        <w:tab w:val="right" w:pos="8306"/>
      </w:tabs>
      <w:snapToGrid w:val="0"/>
      <w:jc w:val="left"/>
    </w:pPr>
    <w:rPr>
      <w:sz w:val="18"/>
      <w:szCs w:val="18"/>
    </w:rPr>
  </w:style>
  <w:style w:type="paragraph" w:styleId="6">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8"/>
    <w:autoRedefine/>
    <w:semiHidden/>
    <w:qFormat/>
    <w:uiPriority w:val="0"/>
    <w:rPr>
      <w:b/>
      <w:bCs/>
    </w:rPr>
  </w:style>
  <w:style w:type="table" w:styleId="10">
    <w:name w:val="Table Grid"/>
    <w:basedOn w:val="9"/>
    <w:autoRedefine/>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styleId="13">
    <w:name w:val="Hyperlink"/>
    <w:autoRedefine/>
    <w:qFormat/>
    <w:uiPriority w:val="0"/>
    <w:rPr>
      <w:color w:val="0000FF"/>
      <w:u w:val="single"/>
    </w:rPr>
  </w:style>
  <w:style w:type="character" w:styleId="14">
    <w:name w:val="annotation reference"/>
    <w:autoRedefine/>
    <w:semiHidden/>
    <w:qFormat/>
    <w:uiPriority w:val="0"/>
    <w:rPr>
      <w:sz w:val="21"/>
      <w:szCs w:val="21"/>
    </w:rPr>
  </w:style>
  <w:style w:type="character" w:customStyle="1" w:styleId="15">
    <w:name w:val="标题 1 字符"/>
    <w:basedOn w:val="11"/>
    <w:link w:val="2"/>
    <w:autoRedefine/>
    <w:qFormat/>
    <w:uiPriority w:val="0"/>
    <w:rPr>
      <w:rFonts w:ascii="Calibri" w:hAnsi="Calibri" w:eastAsia="宋体" w:cs="Times New Roman"/>
      <w:b/>
      <w:bCs/>
      <w:kern w:val="44"/>
      <w:sz w:val="44"/>
      <w:szCs w:val="44"/>
    </w:rPr>
  </w:style>
  <w:style w:type="paragraph" w:customStyle="1" w:styleId="16">
    <w:name w:val="列出段落"/>
    <w:basedOn w:val="1"/>
    <w:autoRedefine/>
    <w:qFormat/>
    <w:uiPriority w:val="0"/>
    <w:pPr>
      <w:ind w:firstLine="420" w:firstLineChars="200"/>
    </w:pPr>
    <w:rPr>
      <w:rFonts w:ascii="等线" w:hAnsi="等线" w:eastAsia="等线"/>
    </w:rPr>
  </w:style>
  <w:style w:type="character" w:customStyle="1" w:styleId="17">
    <w:name w:val="批注文字 字符"/>
    <w:basedOn w:val="11"/>
    <w:link w:val="3"/>
    <w:autoRedefine/>
    <w:semiHidden/>
    <w:qFormat/>
    <w:uiPriority w:val="0"/>
    <w:rPr>
      <w:rFonts w:ascii="Calibri" w:hAnsi="Calibri" w:eastAsia="宋体" w:cs="Times New Roman"/>
    </w:rPr>
  </w:style>
  <w:style w:type="character" w:customStyle="1" w:styleId="18">
    <w:name w:val="批注主题 字符"/>
    <w:basedOn w:val="17"/>
    <w:link w:val="8"/>
    <w:autoRedefine/>
    <w:semiHidden/>
    <w:qFormat/>
    <w:uiPriority w:val="0"/>
    <w:rPr>
      <w:rFonts w:ascii="Calibri" w:hAnsi="Calibri" w:eastAsia="宋体" w:cs="Times New Roman"/>
      <w:b/>
      <w:bCs/>
    </w:rPr>
  </w:style>
  <w:style w:type="character" w:customStyle="1" w:styleId="19">
    <w:name w:val="批注框文本 字符"/>
    <w:basedOn w:val="11"/>
    <w:link w:val="4"/>
    <w:autoRedefine/>
    <w:semiHidden/>
    <w:qFormat/>
    <w:uiPriority w:val="0"/>
    <w:rPr>
      <w:rFonts w:ascii="Calibri" w:hAnsi="Calibri" w:eastAsia="宋体" w:cs="Times New Roman"/>
      <w:sz w:val="18"/>
      <w:szCs w:val="18"/>
    </w:rPr>
  </w:style>
  <w:style w:type="paragraph" w:customStyle="1" w:styleId="20">
    <w:name w:val="列出段落1"/>
    <w:basedOn w:val="1"/>
    <w:uiPriority w:val="0"/>
    <w:pPr>
      <w:ind w:firstLine="420" w:firstLineChars="200"/>
    </w:pPr>
  </w:style>
  <w:style w:type="character" w:customStyle="1" w:styleId="21">
    <w:name w:val="页眉 字符"/>
    <w:basedOn w:val="11"/>
    <w:link w:val="6"/>
    <w:uiPriority w:val="0"/>
    <w:rPr>
      <w:rFonts w:ascii="Calibri" w:hAnsi="Calibri" w:eastAsia="宋体" w:cs="Times New Roman"/>
      <w:sz w:val="18"/>
      <w:szCs w:val="18"/>
    </w:rPr>
  </w:style>
  <w:style w:type="character" w:customStyle="1" w:styleId="22">
    <w:name w:val="页脚 字符"/>
    <w:basedOn w:val="11"/>
    <w:link w:val="5"/>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332A9-A4E7-49F9-9940-EAC5B9178065}">
  <ds:schemaRefs/>
</ds:datastoreItem>
</file>

<file path=docProps/app.xml><?xml version="1.0" encoding="utf-8"?>
<Properties xmlns="http://schemas.openxmlformats.org/officeDocument/2006/extended-properties" xmlns:vt="http://schemas.openxmlformats.org/officeDocument/2006/docPropsVTypes">
  <Template>Normal.dotm</Template>
  <Pages>6</Pages>
  <Words>530</Words>
  <Characters>3024</Characters>
  <Lines>25</Lines>
  <Paragraphs>7</Paragraphs>
  <TotalTime>2</TotalTime>
  <ScaleCrop>false</ScaleCrop>
  <LinksUpToDate>false</LinksUpToDate>
  <CharactersWithSpaces>3547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2020-03-06T07:02:00Z</dcterms:created>
  <dc:creator>tai yuzhu</dc:creator>
  <cp:lastModifiedBy>～鱼儿～</cp:lastModifiedBy>
  <dcterms:modified xsi:type="dcterms:W3CDTF">2024-03-13T01:16:49Z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9EC7027F8D594DBB979855FD0DE092C2_12</vt:lpwstr>
  </property>
</Properties>
</file>