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val="0"/>
        <w:spacing w:line="620" w:lineRule="exact"/>
        <w:jc w:val="both"/>
        <w:textAlignment w:val="auto"/>
        <w:rPr>
          <w:rFonts w:hint="eastAsia" w:ascii="黑体" w:hAnsi="黑体" w:eastAsia="黑体" w:cs="黑体"/>
          <w:color w:val="auto"/>
          <w:sz w:val="32"/>
          <w:szCs w:val="32"/>
          <w:lang w:eastAsia="zh-CN"/>
        </w:rPr>
      </w:pPr>
      <w:r>
        <w:rPr>
          <w:rFonts w:hint="eastAsia" w:ascii="黑体" w:hAnsi="黑体" w:eastAsia="黑体" w:cs="黑体"/>
          <w:color w:val="auto"/>
          <w:sz w:val="32"/>
          <w:szCs w:val="32"/>
          <w:lang w:eastAsia="zh-CN"/>
        </w:rPr>
        <w:t>附件</w:t>
      </w:r>
    </w:p>
    <w:p>
      <w:pPr>
        <w:keepNext w:val="0"/>
        <w:keepLines w:val="0"/>
        <w:pageBreakBefore w:val="0"/>
        <w:widowControl w:val="0"/>
        <w:kinsoku/>
        <w:wordWrap/>
        <w:overflowPunct/>
        <w:topLinePunct w:val="0"/>
        <w:autoSpaceDE/>
        <w:autoSpaceDN/>
        <w:bidi w:val="0"/>
        <w:adjustRightInd/>
        <w:snapToGrid w:val="0"/>
        <w:spacing w:line="620" w:lineRule="exact"/>
        <w:jc w:val="center"/>
        <w:textAlignment w:val="auto"/>
        <w:rPr>
          <w:rFonts w:hint="eastAsia" w:ascii="方正小标宋简体" w:hAnsi="方正小标宋简体" w:eastAsia="方正小标宋简体" w:cs="方正小标宋简体"/>
          <w:color w:val="auto"/>
          <w:sz w:val="44"/>
          <w:szCs w:val="44"/>
          <w:lang w:eastAsia="zh-CN"/>
        </w:rPr>
      </w:pPr>
      <w:bookmarkStart w:id="0" w:name="_GoBack"/>
      <w:bookmarkEnd w:id="0"/>
    </w:p>
    <w:p>
      <w:pPr>
        <w:keepNext w:val="0"/>
        <w:keepLines w:val="0"/>
        <w:pageBreakBefore w:val="0"/>
        <w:widowControl w:val="0"/>
        <w:kinsoku/>
        <w:wordWrap/>
        <w:overflowPunct/>
        <w:topLinePunct w:val="0"/>
        <w:autoSpaceDE/>
        <w:autoSpaceDN/>
        <w:bidi w:val="0"/>
        <w:adjustRightInd/>
        <w:snapToGrid w:val="0"/>
        <w:spacing w:line="62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lang w:eastAsia="zh-CN"/>
        </w:rPr>
        <w:t>锡林郭勒盟</w:t>
      </w:r>
      <w:r>
        <w:rPr>
          <w:rFonts w:hint="eastAsia" w:ascii="方正小标宋简体" w:hAnsi="方正小标宋简体" w:eastAsia="方正小标宋简体" w:cs="方正小标宋简体"/>
          <w:sz w:val="44"/>
          <w:szCs w:val="44"/>
        </w:rPr>
        <w:t>贯彻落实第二轮中央生态环境保护督察报告具体问题整改进展情况</w:t>
      </w:r>
    </w:p>
    <w:p>
      <w:pPr>
        <w:pStyle w:val="2"/>
        <w:keepNext w:val="0"/>
        <w:keepLines w:val="0"/>
        <w:pageBreakBefore w:val="0"/>
        <w:widowControl w:val="0"/>
        <w:kinsoku/>
        <w:wordWrap/>
        <w:overflowPunct/>
        <w:topLinePunct w:val="0"/>
        <w:autoSpaceDE/>
        <w:autoSpaceDN/>
        <w:bidi w:val="0"/>
        <w:adjustRightInd/>
        <w:spacing w:after="0" w:line="580" w:lineRule="exact"/>
        <w:textAlignment w:val="auto"/>
        <w:rPr>
          <w:rFonts w:hint="eastAsia"/>
        </w:rPr>
      </w:pPr>
    </w:p>
    <w:p>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一、贯彻落实习近平生态文明思想还不到位方面</w:t>
      </w:r>
    </w:p>
    <w:p>
      <w:pPr>
        <w:keepNext w:val="0"/>
        <w:keepLines w:val="0"/>
        <w:pageBreakBefore w:val="0"/>
        <w:widowControl w:val="0"/>
        <w:kinsoku/>
        <w:wordWrap/>
        <w:overflowPunct/>
        <w:topLinePunct w:val="0"/>
        <w:autoSpaceDE/>
        <w:autoSpaceDN/>
        <w:bidi w:val="0"/>
        <w:adjustRightInd/>
        <w:snapToGrid w:val="0"/>
        <w:spacing w:line="600" w:lineRule="exact"/>
        <w:ind w:firstLine="640"/>
        <w:jc w:val="both"/>
        <w:textAlignment w:val="auto"/>
        <w:rPr>
          <w:rFonts w:hint="eastAsia" w:ascii="楷体_GB2312" w:hAnsi="楷体_GB2312" w:eastAsia="楷体_GB2312" w:cs="楷体_GB2312"/>
          <w:color w:val="auto"/>
          <w:sz w:val="32"/>
          <w:szCs w:val="32"/>
          <w:lang w:val="en-US" w:eastAsia="zh-CN"/>
        </w:rPr>
      </w:pPr>
      <w:r>
        <w:rPr>
          <w:rFonts w:hint="eastAsia" w:ascii="楷体_GB2312" w:hAnsi="楷体_GB2312" w:eastAsia="楷体_GB2312" w:cs="楷体_GB2312"/>
          <w:color w:val="auto"/>
          <w:sz w:val="32"/>
          <w:szCs w:val="32"/>
          <w:lang w:val="en-US" w:eastAsia="zh-CN"/>
        </w:rPr>
        <w:t>1.</w:t>
      </w:r>
      <w:r>
        <w:rPr>
          <w:rFonts w:hint="eastAsia" w:ascii="楷体_GB2312" w:hAnsi="黑体" w:eastAsia="楷体_GB2312" w:cs="仿宋_GB2312"/>
          <w:sz w:val="32"/>
          <w:szCs w:val="32"/>
        </w:rPr>
        <w:t>一些地方和部门对新发展理念缺乏深刻理解，在建设生态安全屏障与建设产业基地等重大关系上认识模糊，思路不清晰、谋划不全面，推进高质量发展的内生动力不强。有的干部仍然是“重发展、轻保护”、“一手硬、一手软”，生态环境保护责任链条拧得不紧，压力传导存在层层递减的情况，对一些长期存在的生态环境问题熟视无睹。</w:t>
      </w:r>
    </w:p>
    <w:p>
      <w:pPr>
        <w:keepNext w:val="0"/>
        <w:keepLines w:val="0"/>
        <w:pageBreakBefore w:val="0"/>
        <w:widowControl w:val="0"/>
        <w:kinsoku/>
        <w:wordWrap/>
        <w:overflowPunct/>
        <w:topLinePunct w:val="0"/>
        <w:autoSpaceDE/>
        <w:autoSpaceDN/>
        <w:bidi w:val="0"/>
        <w:adjustRightInd/>
        <w:spacing w:line="600" w:lineRule="exact"/>
        <w:ind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整改进展情况：已完成整改，长期坚持</w:t>
      </w:r>
    </w:p>
    <w:p>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（一）盟委将生态文明建设、生态环境保护工作纳入重要议事日程，召开盟委会传达学习党中央、自治区党委关于生态文明建设的决策部署，研究解决生态环境保护工作中的重大问题。</w:t>
      </w:r>
    </w:p>
    <w:p>
      <w:pPr>
        <w:keepNext w:val="0"/>
        <w:keepLines w:val="0"/>
        <w:pageBreakBefore w:val="0"/>
        <w:widowControl w:val="0"/>
        <w:kinsoku/>
        <w:wordWrap/>
        <w:overflowPunct/>
        <w:topLinePunct w:val="0"/>
        <w:autoSpaceDE/>
        <w:autoSpaceDN/>
        <w:bidi w:val="0"/>
        <w:adjustRightInd/>
        <w:snapToGrid w:val="0"/>
        <w:spacing w:line="600" w:lineRule="exact"/>
        <w:ind w:firstLine="64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二）每年年底，盟委均按时向自治区党委报送《关于贯彻落实习近平总书记对内蒙古重要讲话重要指示批示精神情况的报告》《关于××年度生态环境保护工作情况的报告》等，确保总书记关于生态环境保护工作重要指示批示精神在我盟落地落实。</w:t>
      </w:r>
    </w:p>
    <w:p>
      <w:pPr>
        <w:keepNext w:val="0"/>
        <w:keepLines w:val="0"/>
        <w:pageBreakBefore w:val="0"/>
        <w:widowControl w:val="0"/>
        <w:kinsoku/>
        <w:wordWrap/>
        <w:overflowPunct/>
        <w:topLinePunct w:val="0"/>
        <w:autoSpaceDE/>
        <w:autoSpaceDN/>
        <w:bidi w:val="0"/>
        <w:adjustRightInd/>
        <w:snapToGrid w:val="0"/>
        <w:spacing w:line="600" w:lineRule="exact"/>
        <w:ind w:firstLine="64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三）抓住领导干部这个“关键少数”，对县级以上党委（党组）理论学习中心组专题学习重点内容进行安排，明确将习近平生态文明思想纳入中心组学习计划，对下一级党委理论学习中心组学习情况加强日常调度，各旗县市（区）党委理论学习中心组围绕习近平生态文明思想专题开展学习。</w:t>
      </w:r>
    </w:p>
    <w:p>
      <w:pPr>
        <w:keepNext w:val="0"/>
        <w:keepLines w:val="0"/>
        <w:pageBreakBefore w:val="0"/>
        <w:widowControl w:val="0"/>
        <w:kinsoku/>
        <w:wordWrap/>
        <w:overflowPunct/>
        <w:topLinePunct w:val="0"/>
        <w:autoSpaceDE/>
        <w:autoSpaceDN/>
        <w:bidi w:val="0"/>
        <w:adjustRightInd/>
        <w:snapToGrid w:val="0"/>
        <w:spacing w:line="600" w:lineRule="exact"/>
        <w:ind w:firstLine="64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（四）制定盟委理论学习中心组学习计划，细化《专题学习安排》，将习近平生态文明思想作为学习重点列入学习专题安排计划。</w:t>
      </w:r>
    </w:p>
    <w:p>
      <w:pPr>
        <w:keepNext w:val="0"/>
        <w:keepLines w:val="0"/>
        <w:pageBreakBefore w:val="0"/>
        <w:widowControl w:val="0"/>
        <w:kinsoku/>
        <w:wordWrap/>
        <w:overflowPunct/>
        <w:topLinePunct w:val="0"/>
        <w:autoSpaceDE/>
        <w:autoSpaceDN/>
        <w:bidi w:val="0"/>
        <w:adjustRightInd/>
        <w:snapToGrid w:val="0"/>
        <w:spacing w:line="600" w:lineRule="exact"/>
        <w:ind w:firstLine="64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五）锡林郭勒盟行署坚持将生态文明建设、生态环境保护工作纳入重要议事日程，召开党组会议学习传达上级生态环境保护相关重要会议和讲话精神，听取、研究中央环保督察、基本草原保护等工作；举行党组理论学习中心组集体学习，传达学习碳达峰、碳中和、提升生态防护功能等内容；召开行署常务会研究《锡林郭勒盟筑牢祖国北疆生态安全屏障实施方案》《锡林郭勒盟国家生态文明建设示范盟创建规划》等方案、台账，研究资金事宜，安排部署环保问题整改工作；召开专题会议、调度会议部署调度生态文明示范盟创建、水生态环境保护、中央环保督察组交办信访举报案件整改、工业固体废物综合利用、碳达峰碳中和工作要点任务分工等工作。</w:t>
      </w:r>
    </w:p>
    <w:p>
      <w:pPr>
        <w:keepNext w:val="0"/>
        <w:keepLines w:val="0"/>
        <w:pageBreakBefore w:val="0"/>
        <w:widowControl w:val="0"/>
        <w:kinsoku/>
        <w:wordWrap/>
        <w:overflowPunct/>
        <w:topLinePunct w:val="0"/>
        <w:autoSpaceDE/>
        <w:autoSpaceDN/>
        <w:bidi w:val="0"/>
        <w:adjustRightInd/>
        <w:snapToGrid w:val="0"/>
        <w:spacing w:line="600" w:lineRule="exact"/>
        <w:ind w:firstLine="64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（六）锡林郭勒盟行署向自治区政府作半年、年底工作报告和年度工作述职时，都将生态文明建设、生态环境保护有关内容作为专题进行汇报。</w:t>
      </w:r>
    </w:p>
    <w:p>
      <w:pPr>
        <w:pStyle w:val="2"/>
        <w:keepNext w:val="0"/>
        <w:keepLines w:val="0"/>
        <w:pageBreakBefore w:val="0"/>
        <w:widowControl w:val="0"/>
        <w:kinsoku/>
        <w:wordWrap/>
        <w:overflowPunct/>
        <w:topLinePunct w:val="0"/>
        <w:autoSpaceDE/>
        <w:autoSpaceDN/>
        <w:bidi w:val="0"/>
        <w:adjustRightInd/>
        <w:spacing w:after="0" w:line="600" w:lineRule="exact"/>
        <w:ind w:left="0" w:leftChars="0" w:firstLine="640" w:firstLineChars="200"/>
        <w:jc w:val="both"/>
        <w:textAlignment w:val="auto"/>
        <w:rPr>
          <w:rFonts w:hint="eastAsia" w:ascii="楷体_GB2312" w:hAnsi="楷体_GB2312" w:eastAsia="楷体_GB2312" w:cs="楷体_GB2312"/>
          <w:color w:val="auto"/>
          <w:sz w:val="32"/>
          <w:szCs w:val="32"/>
          <w:lang w:val="en-US" w:eastAsia="zh-CN"/>
        </w:rPr>
      </w:pPr>
      <w:r>
        <w:rPr>
          <w:rFonts w:hint="eastAsia" w:ascii="楷体_GB2312" w:hAnsi="楷体_GB2312" w:eastAsia="楷体_GB2312" w:cs="楷体_GB2312"/>
          <w:color w:val="auto"/>
          <w:sz w:val="32"/>
          <w:szCs w:val="32"/>
          <w:lang w:val="en-US" w:eastAsia="zh-CN"/>
        </w:rPr>
        <w:t>2.</w:t>
      </w:r>
      <w:r>
        <w:rPr>
          <w:rFonts w:hint="eastAsia" w:ascii="楷体_GB2312" w:hAnsi="黑体" w:eastAsia="楷体_GB2312" w:cs="仿宋_GB2312"/>
          <w:sz w:val="32"/>
          <w:szCs w:val="32"/>
        </w:rPr>
        <w:t>习近平总书记深刻指出，“保护草原、森林是内蒙古生态系统保护的首要任务。”但长期以来，内蒙古一些地区草原</w:t>
      </w:r>
      <w:r>
        <w:rPr>
          <w:rFonts w:hint="eastAsia" w:ascii="楷体_GB2312" w:hAnsi="黑体" w:eastAsia="楷体_GB2312" w:cs="黑体"/>
          <w:w w:val="105"/>
          <w:sz w:val="32"/>
          <w:szCs w:val="32"/>
        </w:rPr>
        <w:t>林地保护为矿山开采等开发建设让路的问题多发频发，一些违法违规项目给草原生态造成难以弥补的损失，修复治理成本高、难度大。</w:t>
      </w:r>
    </w:p>
    <w:p>
      <w:pPr>
        <w:keepNext w:val="0"/>
        <w:keepLines w:val="0"/>
        <w:pageBreakBefore w:val="0"/>
        <w:widowControl w:val="0"/>
        <w:kinsoku/>
        <w:wordWrap/>
        <w:overflowPunct/>
        <w:topLinePunct w:val="0"/>
        <w:autoSpaceDE/>
        <w:autoSpaceDN/>
        <w:bidi w:val="0"/>
        <w:adjustRightInd/>
        <w:spacing w:line="600" w:lineRule="exact"/>
        <w:ind w:firstLine="640" w:firstLineChars="200"/>
        <w:jc w:val="both"/>
        <w:textAlignment w:val="auto"/>
        <w:rPr>
          <w:rFonts w:hint="eastAsia"/>
          <w:lang w:val="en-US" w:eastAsia="zh-CN"/>
        </w:rPr>
      </w:pPr>
      <w:r>
        <w:rPr>
          <w:rFonts w:hint="eastAsia" w:ascii="黑体" w:hAnsi="黑体" w:eastAsia="黑体" w:cs="黑体"/>
          <w:sz w:val="32"/>
          <w:szCs w:val="32"/>
        </w:rPr>
        <w:t>整改进展情况：已完成整改，长期坚持</w:t>
      </w:r>
    </w:p>
    <w:p>
      <w:pPr>
        <w:keepNext w:val="0"/>
        <w:keepLines w:val="0"/>
        <w:pageBreakBefore w:val="0"/>
        <w:widowControl w:val="0"/>
        <w:kinsoku/>
        <w:wordWrap/>
        <w:overflowPunct/>
        <w:topLinePunct w:val="0"/>
        <w:autoSpaceDE/>
        <w:autoSpaceDN/>
        <w:bidi w:val="0"/>
        <w:adjustRightInd/>
        <w:spacing w:line="600" w:lineRule="exact"/>
        <w:ind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一）严格按照《国家林草局草原征占用审核审批管理规范》、《内蒙古自治区草原征占用审核审批管理规定》要求，严格落实矿山开采等开发建设占用草原林地管理制度、生态保护红线和草原林地用途管制，依法依规办理草原林地征占用审核审批手续。</w:t>
      </w:r>
    </w:p>
    <w:p>
      <w:pPr>
        <w:keepNext w:val="0"/>
        <w:keepLines w:val="0"/>
        <w:pageBreakBefore w:val="0"/>
        <w:widowControl w:val="0"/>
        <w:kinsoku/>
        <w:wordWrap/>
        <w:overflowPunct/>
        <w:topLinePunct w:val="0"/>
        <w:autoSpaceDE/>
        <w:autoSpaceDN/>
        <w:bidi w:val="0"/>
        <w:adjustRightInd/>
        <w:spacing w:line="600" w:lineRule="exact"/>
        <w:ind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二）按照《全盟矿山违规违法开采破坏生态问题举一反三排查整治工作方案》，各旗县市（区）人民政府（管委会）对各地矿山开采破坏草原林地建设项目进行了全面排查，全盟新发现矿山开采项目破坏林地草原违法违规问题3项，建立《全盟矿山开采项目破坏林地草原违法违规问题排查台账》，并积极展开整改。</w:t>
      </w:r>
    </w:p>
    <w:p>
      <w:pPr>
        <w:keepNext w:val="0"/>
        <w:keepLines w:val="0"/>
        <w:pageBreakBefore w:val="0"/>
        <w:widowControl w:val="0"/>
        <w:kinsoku/>
        <w:wordWrap/>
        <w:overflowPunct/>
        <w:topLinePunct w:val="0"/>
        <w:autoSpaceDE/>
        <w:autoSpaceDN/>
        <w:bidi w:val="0"/>
        <w:adjustRightInd/>
        <w:spacing w:line="600" w:lineRule="exact"/>
        <w:ind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三）根据《国家林业和草原局草原管理司关于部署开展2022年草原变化图斑判读和核查处置工作的通知》、《内蒙古自治区2022年草原变化图斑核查处置工作方案（暂行）》精神，开展草原图斑核查工作，11728个草原变化图斑实地核查工作全部完成。</w:t>
      </w:r>
    </w:p>
    <w:p>
      <w:pPr>
        <w:keepNext w:val="0"/>
        <w:keepLines w:val="0"/>
        <w:pageBreakBefore w:val="0"/>
        <w:widowControl w:val="0"/>
        <w:kinsoku/>
        <w:wordWrap/>
        <w:overflowPunct/>
        <w:topLinePunct w:val="0"/>
        <w:autoSpaceDE/>
        <w:autoSpaceDN/>
        <w:bidi w:val="0"/>
        <w:adjustRightInd/>
        <w:snapToGrid w:val="0"/>
        <w:spacing w:line="600" w:lineRule="exact"/>
        <w:ind w:firstLine="640"/>
        <w:jc w:val="both"/>
        <w:textAlignment w:val="auto"/>
        <w:rPr>
          <w:rFonts w:hint="default" w:ascii="仿宋_GB2312" w:hAnsi="仿宋_GB2312" w:eastAsia="仿宋_GB2312" w:cs="仿宋_GB2312"/>
          <w:color w:val="auto"/>
          <w:sz w:val="32"/>
          <w:szCs w:val="32"/>
          <w:lang w:val="en-US" w:eastAsia="zh-CN"/>
        </w:rPr>
      </w:pPr>
      <w:r>
        <w:rPr>
          <w:rFonts w:hint="eastAsia" w:ascii="楷体_GB2312" w:hAnsi="楷体_GB2312" w:eastAsia="楷体_GB2312" w:cs="楷体_GB2312"/>
          <w:color w:val="auto"/>
          <w:sz w:val="32"/>
          <w:szCs w:val="32"/>
          <w:lang w:val="en-US" w:eastAsia="zh-CN"/>
        </w:rPr>
        <w:t>3.不仅矿山开采侵占草原林地问题突出，生态修复治理也进展滞后。截至2021年年底，自治区在期有效露天矿山1482家，占矿山总数61.6%，目前仍有500多平方公里需要治理修复。</w:t>
      </w:r>
    </w:p>
    <w:p>
      <w:pPr>
        <w:pStyle w:val="2"/>
        <w:keepNext w:val="0"/>
        <w:keepLines w:val="0"/>
        <w:pageBreakBefore w:val="0"/>
        <w:widowControl w:val="0"/>
        <w:kinsoku/>
        <w:wordWrap/>
        <w:overflowPunct/>
        <w:topLinePunct w:val="0"/>
        <w:autoSpaceDE/>
        <w:autoSpaceDN/>
        <w:bidi w:val="0"/>
        <w:adjustRightInd/>
        <w:spacing w:after="0" w:line="600" w:lineRule="exact"/>
        <w:ind w:left="0" w:leftChars="0" w:firstLine="640" w:firstLineChars="200"/>
        <w:jc w:val="both"/>
        <w:textAlignment w:val="auto"/>
        <w:rPr>
          <w:rFonts w:hint="eastAsia" w:ascii="仿宋_GB2312" w:hAnsi="仿宋_GB2312" w:eastAsia="黑体" w:cs="仿宋_GB2312"/>
          <w:color w:val="auto"/>
          <w:sz w:val="32"/>
          <w:szCs w:val="32"/>
          <w:lang w:val="en-US" w:eastAsia="zh-CN"/>
        </w:rPr>
      </w:pPr>
      <w:r>
        <w:rPr>
          <w:rFonts w:hint="eastAsia" w:ascii="黑体" w:hAnsi="黑体" w:eastAsia="黑体" w:cs="黑体"/>
          <w:sz w:val="32"/>
          <w:szCs w:val="32"/>
        </w:rPr>
        <w:t>整改进展情况：</w:t>
      </w:r>
      <w:r>
        <w:rPr>
          <w:rFonts w:hint="eastAsia" w:ascii="黑体" w:hAnsi="黑体" w:eastAsia="黑体" w:cs="黑体"/>
          <w:sz w:val="32"/>
          <w:szCs w:val="32"/>
          <w:lang w:eastAsia="zh-CN"/>
        </w:rPr>
        <w:t>已完成整改</w:t>
      </w:r>
    </w:p>
    <w:p>
      <w:pPr>
        <w:keepNext w:val="0"/>
        <w:keepLines w:val="0"/>
        <w:pageBreakBefore w:val="0"/>
        <w:widowControl w:val="0"/>
        <w:kinsoku/>
        <w:wordWrap/>
        <w:overflowPunct/>
        <w:topLinePunct w:val="0"/>
        <w:autoSpaceDE/>
        <w:autoSpaceDN/>
        <w:bidi w:val="0"/>
        <w:adjustRightInd/>
        <w:spacing w:line="600" w:lineRule="exact"/>
        <w:ind w:firstLine="640" w:firstLineChars="200"/>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（一）制定</w:t>
      </w:r>
      <w:r>
        <w:rPr>
          <w:rFonts w:hint="default" w:ascii="仿宋_GB2312" w:hAnsi="仿宋_GB2312" w:eastAsia="仿宋_GB2312" w:cs="仿宋_GB2312"/>
          <w:color w:val="auto"/>
          <w:sz w:val="32"/>
          <w:szCs w:val="32"/>
          <w:lang w:val="en-US" w:eastAsia="zh-CN"/>
        </w:rPr>
        <w:t>印发《关于做好中央第二轮环保督察反馈143家露天矿山整改工作的通知》，要求各旗县市</w:t>
      </w:r>
      <w:r>
        <w:rPr>
          <w:rFonts w:hint="eastAsia" w:ascii="仿宋_GB2312" w:hAnsi="仿宋_GB2312" w:eastAsia="仿宋_GB2312" w:cs="仿宋_GB2312"/>
          <w:color w:val="auto"/>
          <w:sz w:val="32"/>
          <w:szCs w:val="32"/>
          <w:lang w:val="en-US" w:eastAsia="zh-CN"/>
        </w:rPr>
        <w:t>（</w:t>
      </w:r>
      <w:r>
        <w:rPr>
          <w:rFonts w:hint="default"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lang w:val="en-US" w:eastAsia="zh-CN"/>
        </w:rPr>
        <w:t>）</w:t>
      </w:r>
      <w:r>
        <w:rPr>
          <w:rFonts w:hint="default" w:ascii="仿宋_GB2312" w:hAnsi="仿宋_GB2312" w:eastAsia="仿宋_GB2312" w:cs="仿宋_GB2312"/>
          <w:color w:val="auto"/>
          <w:sz w:val="32"/>
          <w:szCs w:val="32"/>
          <w:lang w:val="en-US" w:eastAsia="zh-CN"/>
        </w:rPr>
        <w:t>调整完善治理计划，持续推进矿山地质环境治理工作。</w:t>
      </w:r>
    </w:p>
    <w:p>
      <w:pPr>
        <w:keepNext w:val="0"/>
        <w:keepLines w:val="0"/>
        <w:pageBreakBefore w:val="0"/>
        <w:widowControl w:val="0"/>
        <w:kinsoku/>
        <w:wordWrap/>
        <w:overflowPunct/>
        <w:topLinePunct w:val="0"/>
        <w:autoSpaceDE/>
        <w:autoSpaceDN/>
        <w:bidi w:val="0"/>
        <w:adjustRightInd/>
        <w:spacing w:line="600" w:lineRule="exact"/>
        <w:ind w:firstLine="640" w:firstLineChars="200"/>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（二）</w:t>
      </w:r>
      <w:r>
        <w:rPr>
          <w:rFonts w:hint="default" w:ascii="仿宋_GB2312" w:hAnsi="仿宋_GB2312" w:eastAsia="仿宋_GB2312" w:cs="仿宋_GB2312"/>
          <w:color w:val="auto"/>
          <w:sz w:val="32"/>
          <w:szCs w:val="32"/>
          <w:lang w:val="en-US" w:eastAsia="zh-CN"/>
        </w:rPr>
        <w:t>对照全盟露天煤矿《初步设计》共排查发现问题14项，已全部完成整改并验收销号。</w:t>
      </w:r>
    </w:p>
    <w:p>
      <w:pPr>
        <w:keepNext w:val="0"/>
        <w:keepLines w:val="0"/>
        <w:pageBreakBefore w:val="0"/>
        <w:widowControl w:val="0"/>
        <w:kinsoku/>
        <w:wordWrap/>
        <w:overflowPunct/>
        <w:topLinePunct w:val="0"/>
        <w:autoSpaceDE/>
        <w:autoSpaceDN/>
        <w:bidi w:val="0"/>
        <w:adjustRightInd/>
        <w:spacing w:line="600" w:lineRule="exact"/>
        <w:ind w:firstLine="640" w:firstLineChars="200"/>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（三）</w:t>
      </w:r>
      <w:r>
        <w:rPr>
          <w:rFonts w:hint="default" w:ascii="仿宋_GB2312" w:hAnsi="仿宋_GB2312" w:eastAsia="仿宋_GB2312" w:cs="仿宋_GB2312"/>
          <w:color w:val="auto"/>
          <w:sz w:val="32"/>
          <w:szCs w:val="32"/>
          <w:lang w:val="en-US" w:eastAsia="zh-CN"/>
        </w:rPr>
        <w:t>全盟143家露天矿山2022年完成治理面积</w:t>
      </w:r>
      <w:r>
        <w:rPr>
          <w:rFonts w:hint="eastAsia" w:ascii="仿宋_GB2312" w:hAnsi="仿宋_GB2312" w:eastAsia="仿宋_GB2312" w:cs="仿宋_GB2312"/>
          <w:color w:val="auto"/>
          <w:sz w:val="32"/>
          <w:szCs w:val="32"/>
          <w:lang w:val="en-US" w:eastAsia="zh-CN"/>
        </w:rPr>
        <w:t>27.24</w:t>
      </w:r>
      <w:r>
        <w:rPr>
          <w:rFonts w:hint="default" w:ascii="仿宋_GB2312" w:hAnsi="仿宋_GB2312" w:eastAsia="仿宋_GB2312" w:cs="仿宋_GB2312"/>
          <w:color w:val="auto"/>
          <w:sz w:val="32"/>
          <w:szCs w:val="32"/>
          <w:lang w:val="en-US" w:eastAsia="zh-CN"/>
        </w:rPr>
        <w:t>平方公里</w:t>
      </w:r>
      <w:r>
        <w:rPr>
          <w:rFonts w:hint="eastAsia" w:ascii="仿宋_GB2312" w:hAnsi="仿宋_GB2312" w:eastAsia="仿宋_GB2312" w:cs="仿宋_GB2312"/>
          <w:color w:val="auto"/>
          <w:sz w:val="32"/>
          <w:szCs w:val="32"/>
          <w:lang w:val="en-US" w:eastAsia="zh-CN"/>
        </w:rPr>
        <w:t>，2023年完成治理面积18.69平方公里，2024年完成治理面积17.53平方公里，</w:t>
      </w:r>
      <w:r>
        <w:rPr>
          <w:rFonts w:hint="default" w:ascii="仿宋_GB2312" w:hAnsi="仿宋_GB2312" w:eastAsia="仿宋_GB2312" w:cs="仿宋_GB2312"/>
          <w:color w:val="auto"/>
          <w:sz w:val="32"/>
          <w:szCs w:val="32"/>
          <w:lang w:val="en-US" w:eastAsia="zh-CN"/>
        </w:rPr>
        <w:t>202</w:t>
      </w:r>
      <w:r>
        <w:rPr>
          <w:rFonts w:hint="eastAsia" w:ascii="仿宋_GB2312" w:hAnsi="仿宋_GB2312" w:eastAsia="仿宋_GB2312" w:cs="仿宋_GB2312"/>
          <w:color w:val="auto"/>
          <w:sz w:val="32"/>
          <w:szCs w:val="32"/>
          <w:lang w:val="en-US" w:eastAsia="zh-CN"/>
        </w:rPr>
        <w:t>5</w:t>
      </w:r>
      <w:r>
        <w:rPr>
          <w:rFonts w:hint="default" w:ascii="仿宋_GB2312" w:hAnsi="仿宋_GB2312" w:eastAsia="仿宋_GB2312" w:cs="仿宋_GB2312"/>
          <w:color w:val="auto"/>
          <w:sz w:val="32"/>
          <w:szCs w:val="32"/>
          <w:lang w:val="en-US" w:eastAsia="zh-CN"/>
        </w:rPr>
        <w:t>年完成治理面积</w:t>
      </w:r>
      <w:r>
        <w:rPr>
          <w:rFonts w:hint="eastAsia" w:ascii="仿宋_GB2312" w:hAnsi="仿宋_GB2312" w:eastAsia="仿宋_GB2312" w:cs="仿宋_GB2312"/>
          <w:color w:val="auto"/>
          <w:sz w:val="32"/>
          <w:szCs w:val="32"/>
          <w:lang w:val="en-US" w:eastAsia="zh-CN"/>
        </w:rPr>
        <w:t>13.15</w:t>
      </w:r>
      <w:r>
        <w:rPr>
          <w:rFonts w:hint="default" w:ascii="仿宋_GB2312" w:hAnsi="仿宋_GB2312" w:eastAsia="仿宋_GB2312" w:cs="仿宋_GB2312"/>
          <w:color w:val="auto"/>
          <w:sz w:val="32"/>
          <w:szCs w:val="32"/>
          <w:lang w:val="en-US" w:eastAsia="zh-CN"/>
        </w:rPr>
        <w:t>平方公里。</w:t>
      </w:r>
    </w:p>
    <w:p>
      <w:pPr>
        <w:keepNext w:val="0"/>
        <w:keepLines w:val="0"/>
        <w:pageBreakBefore w:val="0"/>
        <w:widowControl w:val="0"/>
        <w:kinsoku/>
        <w:wordWrap/>
        <w:overflowPunct/>
        <w:topLinePunct w:val="0"/>
        <w:autoSpaceDE/>
        <w:autoSpaceDN/>
        <w:bidi w:val="0"/>
        <w:adjustRightInd/>
        <w:spacing w:line="600" w:lineRule="exact"/>
        <w:ind w:firstLine="640" w:firstLineChars="200"/>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（四）</w:t>
      </w:r>
      <w:r>
        <w:rPr>
          <w:rFonts w:hint="default" w:ascii="仿宋_GB2312" w:hAnsi="仿宋_GB2312" w:eastAsia="仿宋_GB2312" w:cs="仿宋_GB2312"/>
          <w:color w:val="auto"/>
          <w:sz w:val="32"/>
          <w:szCs w:val="32"/>
          <w:lang w:val="en-US" w:eastAsia="zh-CN"/>
        </w:rPr>
        <w:t>各旗县市（区）人民政府已完成年度地质环境治理评估工作，143家露天矿山评估工作情况已上报自治区自然资源厅报备。</w:t>
      </w:r>
    </w:p>
    <w:p>
      <w:pPr>
        <w:keepNext w:val="0"/>
        <w:keepLines w:val="0"/>
        <w:pageBreakBefore w:val="0"/>
        <w:widowControl w:val="0"/>
        <w:kinsoku/>
        <w:wordWrap/>
        <w:overflowPunct/>
        <w:topLinePunct w:val="0"/>
        <w:autoSpaceDE/>
        <w:autoSpaceDN/>
        <w:bidi w:val="0"/>
        <w:adjustRightInd/>
        <w:spacing w:line="600" w:lineRule="exact"/>
        <w:ind w:firstLine="640" w:firstLineChars="200"/>
        <w:jc w:val="both"/>
        <w:textAlignment w:val="auto"/>
        <w:rPr>
          <w:rFonts w:hint="eastAsia" w:ascii="楷体_GB2312" w:hAnsi="黑体" w:eastAsia="楷体_GB2312" w:cs="黑体"/>
          <w:w w:val="105"/>
          <w:sz w:val="32"/>
          <w:szCs w:val="32"/>
        </w:rPr>
      </w:pPr>
      <w:r>
        <w:rPr>
          <w:rFonts w:hint="eastAsia" w:ascii="楷体_GB2312" w:hAnsi="楷体_GB2312" w:eastAsia="楷体_GB2312" w:cs="楷体_GB2312"/>
          <w:color w:val="auto"/>
          <w:sz w:val="32"/>
          <w:szCs w:val="32"/>
          <w:lang w:val="en-US" w:eastAsia="zh-CN"/>
        </w:rPr>
        <w:t>4.</w:t>
      </w:r>
      <w:r>
        <w:rPr>
          <w:rFonts w:hint="eastAsia" w:ascii="楷体_GB2312" w:hAnsi="黑体" w:eastAsia="楷体_GB2312" w:cs="黑体"/>
          <w:color w:val="auto"/>
          <w:w w:val="105"/>
          <w:sz w:val="32"/>
          <w:szCs w:val="32"/>
        </w:rPr>
        <w:t>自治区自然资源部门矿业权审批不严格，2018</w:t>
      </w:r>
      <w:r>
        <w:rPr>
          <w:rFonts w:hint="eastAsia" w:ascii="楷体_GB2312" w:hAnsi="黑体" w:eastAsia="楷体_GB2312" w:cs="黑体"/>
          <w:w w:val="105"/>
          <w:sz w:val="32"/>
          <w:szCs w:val="32"/>
        </w:rPr>
        <w:t>年以来，未认真核实矿业权与自然保护地关系，批准新设或延续53宗自然保护地重叠的矿业权。</w:t>
      </w:r>
    </w:p>
    <w:p>
      <w:pPr>
        <w:pStyle w:val="2"/>
        <w:keepNext w:val="0"/>
        <w:keepLines w:val="0"/>
        <w:pageBreakBefore w:val="0"/>
        <w:widowControl w:val="0"/>
        <w:kinsoku/>
        <w:wordWrap/>
        <w:overflowPunct/>
        <w:topLinePunct w:val="0"/>
        <w:autoSpaceDE/>
        <w:autoSpaceDN/>
        <w:bidi w:val="0"/>
        <w:adjustRightInd/>
        <w:spacing w:after="0" w:line="60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整改进展情况：已完成整改</w:t>
      </w:r>
    </w:p>
    <w:p>
      <w:pPr>
        <w:keepNext w:val="0"/>
        <w:keepLines w:val="0"/>
        <w:pageBreakBefore w:val="0"/>
        <w:widowControl w:val="0"/>
        <w:kinsoku/>
        <w:wordWrap/>
        <w:overflowPunct/>
        <w:topLinePunct w:val="0"/>
        <w:autoSpaceDE/>
        <w:autoSpaceDN/>
        <w:bidi w:val="0"/>
        <w:adjustRightInd/>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我盟2宗探矿权已通过缩小矿区范围方式退出自然保护地。2022年7月8日，东乌旗组织专家对2宗探矿权复垦工程进行验收。7月14日，已将探矿权退出自然保护地的部分移交东乌旗林草局进行后期管护。2025年6月30日，自治区自然资源厅</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自治区林业和草原局赴我盟开展实地核验。此问题涉及的矿业权与保护区重叠区域已</w:t>
      </w:r>
      <w:r>
        <w:rPr>
          <w:rFonts w:hint="eastAsia" w:ascii="仿宋_GB2312" w:hAnsi="仿宋_GB2312" w:eastAsia="仿宋_GB2312" w:cs="仿宋_GB2312"/>
          <w:sz w:val="32"/>
          <w:szCs w:val="32"/>
          <w:lang w:eastAsia="zh-CN"/>
        </w:rPr>
        <w:t>实现</w:t>
      </w:r>
      <w:r>
        <w:rPr>
          <w:rFonts w:hint="eastAsia" w:ascii="仿宋_GB2312" w:hAnsi="仿宋_GB2312" w:eastAsia="仿宋_GB2312" w:cs="仿宋_GB2312"/>
          <w:sz w:val="32"/>
          <w:szCs w:val="32"/>
        </w:rPr>
        <w:t>退出并完成治理工程。</w:t>
      </w:r>
    </w:p>
    <w:p>
      <w:pPr>
        <w:pStyle w:val="4"/>
        <w:keepNext w:val="0"/>
        <w:keepLines w:val="0"/>
        <w:pageBreakBefore w:val="0"/>
        <w:widowControl w:val="0"/>
        <w:kinsoku/>
        <w:wordWrap/>
        <w:overflowPunct/>
        <w:topLinePunct w:val="0"/>
        <w:autoSpaceDE/>
        <w:autoSpaceDN/>
        <w:bidi w:val="0"/>
        <w:adjustRightInd/>
        <w:snapToGrid/>
        <w:spacing w:line="600" w:lineRule="exact"/>
        <w:ind w:firstLine="672" w:firstLineChars="200"/>
        <w:jc w:val="both"/>
        <w:textAlignment w:val="auto"/>
        <w:rPr>
          <w:rFonts w:hint="eastAsia" w:ascii="楷体_GB2312" w:hAnsi="黑体" w:eastAsia="楷体_GB2312" w:cs="黑体"/>
          <w:w w:val="105"/>
          <w:sz w:val="32"/>
          <w:szCs w:val="32"/>
        </w:rPr>
      </w:pPr>
      <w:r>
        <w:rPr>
          <w:rFonts w:hint="eastAsia" w:ascii="楷体_GB2312" w:hAnsi="黑体" w:eastAsia="楷体_GB2312" w:cs="黑体"/>
          <w:w w:val="105"/>
          <w:sz w:val="32"/>
          <w:szCs w:val="32"/>
          <w:lang w:val="en-US" w:eastAsia="zh-CN"/>
        </w:rPr>
        <w:t>5.</w:t>
      </w:r>
      <w:r>
        <w:rPr>
          <w:rFonts w:hint="eastAsia" w:ascii="楷体_GB2312" w:hAnsi="黑体" w:eastAsia="楷体_GB2312" w:cs="黑体"/>
          <w:w w:val="105"/>
          <w:sz w:val="32"/>
          <w:szCs w:val="32"/>
        </w:rPr>
        <w:t>自治区水利部门对地下水水位持续下降问题研究不够、措施不多，对相关盟市取水许可管理混乱问题缺乏有效监督，2021年共有7个盟市11个超采区连续4个季度出现水位下降。</w:t>
      </w:r>
    </w:p>
    <w:p>
      <w:pPr>
        <w:pStyle w:val="2"/>
        <w:keepNext w:val="0"/>
        <w:keepLines w:val="0"/>
        <w:pageBreakBefore w:val="0"/>
        <w:widowControl w:val="0"/>
        <w:kinsoku/>
        <w:wordWrap/>
        <w:overflowPunct/>
        <w:topLinePunct w:val="0"/>
        <w:autoSpaceDE/>
        <w:autoSpaceDN/>
        <w:bidi w:val="0"/>
        <w:adjustRightInd/>
        <w:snapToGrid/>
        <w:spacing w:after="0" w:line="600" w:lineRule="exact"/>
        <w:ind w:firstLine="640" w:firstLineChars="200"/>
        <w:jc w:val="both"/>
        <w:textAlignment w:val="auto"/>
        <w:rPr>
          <w:rFonts w:hint="eastAsia" w:ascii="黑体" w:hAnsi="黑体" w:eastAsia="黑体" w:cs="黑体"/>
          <w:sz w:val="32"/>
          <w:szCs w:val="32"/>
          <w:lang w:eastAsia="zh-CN"/>
        </w:rPr>
      </w:pPr>
      <w:r>
        <w:rPr>
          <w:rFonts w:hint="eastAsia" w:ascii="黑体" w:hAnsi="黑体" w:eastAsia="黑体" w:cs="黑体"/>
          <w:sz w:val="32"/>
          <w:szCs w:val="32"/>
        </w:rPr>
        <w:t>整改进展情况：</w:t>
      </w:r>
      <w:r>
        <w:rPr>
          <w:rFonts w:hint="eastAsia" w:ascii="黑体" w:hAnsi="黑体" w:eastAsia="黑体" w:cs="黑体"/>
          <w:sz w:val="32"/>
          <w:szCs w:val="32"/>
          <w:lang w:eastAsia="zh-CN"/>
        </w:rPr>
        <w:t>已完成整改</w:t>
      </w:r>
    </w:p>
    <w:p>
      <w:pPr>
        <w:pStyle w:val="2"/>
        <w:keepNext w:val="0"/>
        <w:keepLines w:val="0"/>
        <w:pageBreakBefore w:val="0"/>
        <w:widowControl w:val="0"/>
        <w:kinsoku/>
        <w:wordWrap/>
        <w:overflowPunct/>
        <w:topLinePunct w:val="0"/>
        <w:autoSpaceDE/>
        <w:autoSpaceDN/>
        <w:bidi w:val="0"/>
        <w:adjustRightInd/>
        <w:spacing w:after="0" w:line="600" w:lineRule="exact"/>
        <w:ind w:left="0" w:leftChars="0"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全盟园区工业用水及矿山疏干排水用水户全部实现在线计量。全盟农灌井推行“以电折水”计量监测，实现了“一井一系数”。违规取用水问题全部整改完成。</w:t>
      </w:r>
    </w:p>
    <w:p>
      <w:pPr>
        <w:pStyle w:val="2"/>
        <w:keepNext w:val="0"/>
        <w:keepLines w:val="0"/>
        <w:pageBreakBefore w:val="0"/>
        <w:widowControl w:val="0"/>
        <w:kinsoku/>
        <w:wordWrap/>
        <w:overflowPunct/>
        <w:topLinePunct w:val="0"/>
        <w:autoSpaceDE/>
        <w:autoSpaceDN/>
        <w:bidi w:val="0"/>
        <w:adjustRightInd/>
        <w:spacing w:after="0" w:line="600" w:lineRule="exact"/>
        <w:ind w:left="0"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eastAsia="zh-CN"/>
        </w:rPr>
        <w:t>二、北方生态安全屏障构建仍有短板方面</w:t>
      </w:r>
    </w:p>
    <w:p>
      <w:pPr>
        <w:keepNext w:val="0"/>
        <w:keepLines w:val="0"/>
        <w:pageBreakBefore w:val="0"/>
        <w:widowControl w:val="0"/>
        <w:kinsoku/>
        <w:wordWrap/>
        <w:overflowPunct/>
        <w:topLinePunct w:val="0"/>
        <w:autoSpaceDE/>
        <w:autoSpaceDN/>
        <w:bidi w:val="0"/>
        <w:adjustRightInd/>
        <w:spacing w:line="600" w:lineRule="exact"/>
        <w:ind w:firstLine="640" w:firstLineChars="200"/>
        <w:jc w:val="both"/>
        <w:textAlignment w:val="auto"/>
        <w:rPr>
          <w:rFonts w:hint="default" w:ascii="仿宋_GB2312" w:hAnsi="仿宋_GB2312" w:eastAsia="仿宋_GB2312" w:cs="仿宋_GB2312"/>
          <w:color w:val="auto"/>
          <w:sz w:val="32"/>
          <w:szCs w:val="32"/>
          <w:lang w:val="en-US" w:eastAsia="zh-CN"/>
        </w:rPr>
      </w:pPr>
      <w:r>
        <w:rPr>
          <w:rFonts w:hint="eastAsia" w:ascii="楷体_GB2312" w:hAnsi="楷体_GB2312" w:eastAsia="楷体_GB2312" w:cs="楷体_GB2312"/>
          <w:color w:val="auto"/>
          <w:sz w:val="32"/>
          <w:szCs w:val="32"/>
          <w:lang w:val="en-US" w:eastAsia="zh-CN"/>
        </w:rPr>
        <w:t>6.</w:t>
      </w:r>
      <w:r>
        <w:rPr>
          <w:rFonts w:hint="eastAsia" w:ascii="楷体_GB2312" w:hAnsi="黑体" w:eastAsia="楷体_GB2312" w:cs="黑体"/>
          <w:w w:val="105"/>
          <w:sz w:val="32"/>
          <w:szCs w:val="32"/>
        </w:rPr>
        <w:t>锡林郭勒盟内蒙古金中矿业有限公司巴彦哈尔敖包金矿非法占用草原2953亩，锡林郭勒盟卧龙泉赛马场等4个项目长期违规占用基本草原329亩。</w:t>
      </w:r>
    </w:p>
    <w:p>
      <w:pPr>
        <w:keepNext w:val="0"/>
        <w:keepLines w:val="0"/>
        <w:pageBreakBefore w:val="0"/>
        <w:widowControl w:val="0"/>
        <w:kinsoku/>
        <w:wordWrap/>
        <w:overflowPunct/>
        <w:topLinePunct w:val="0"/>
        <w:autoSpaceDE/>
        <w:autoSpaceDN/>
        <w:bidi w:val="0"/>
        <w:adjustRightInd/>
        <w:spacing w:line="600" w:lineRule="exact"/>
        <w:ind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整改进展情况：已完成整改</w:t>
      </w:r>
    </w:p>
    <w:p>
      <w:pPr>
        <w:keepNext w:val="0"/>
        <w:keepLines w:val="0"/>
        <w:pageBreakBefore w:val="0"/>
        <w:widowControl w:val="0"/>
        <w:kinsoku/>
        <w:wordWrap/>
        <w:overflowPunct/>
        <w:topLinePunct w:val="0"/>
        <w:autoSpaceDE/>
        <w:autoSpaceDN/>
        <w:bidi w:val="0"/>
        <w:adjustRightInd/>
        <w:spacing w:line="600" w:lineRule="exact"/>
        <w:ind w:firstLine="640" w:firstLineChars="200"/>
        <w:jc w:val="both"/>
        <w:textAlignment w:val="auto"/>
        <w:rPr>
          <w:rFonts w:hint="eastAsia" w:ascii="仿宋_GB2312" w:hAnsi="Nimbus Roman No9 L" w:eastAsia="仿宋_GB2312" w:cs="Nimbus Roman No9 L"/>
          <w:sz w:val="32"/>
          <w:szCs w:val="32"/>
        </w:rPr>
      </w:pPr>
      <w:r>
        <w:rPr>
          <w:rFonts w:hint="eastAsia" w:ascii="仿宋_GB2312" w:hAnsi="Nimbus Roman No9 L" w:eastAsia="仿宋_GB2312" w:cs="Nimbus Roman No9 L"/>
          <w:sz w:val="32"/>
          <w:szCs w:val="32"/>
        </w:rPr>
        <w:t>（一）锡林郭勒盟卧龙泉赛马场等4个项目的建筑物、构筑物已完成整改。</w:t>
      </w:r>
    </w:p>
    <w:p>
      <w:pPr>
        <w:keepNext w:val="0"/>
        <w:keepLines w:val="0"/>
        <w:pageBreakBefore w:val="0"/>
        <w:widowControl w:val="0"/>
        <w:kinsoku/>
        <w:wordWrap/>
        <w:overflowPunct/>
        <w:topLinePunct w:val="0"/>
        <w:autoSpaceDE/>
        <w:autoSpaceDN/>
        <w:bidi w:val="0"/>
        <w:adjustRightInd/>
        <w:spacing w:line="600" w:lineRule="exact"/>
        <w:ind w:firstLine="640" w:firstLineChars="200"/>
        <w:jc w:val="both"/>
        <w:textAlignment w:val="auto"/>
        <w:rPr>
          <w:rFonts w:hint="eastAsia" w:ascii="仿宋_GB2312" w:hAnsi="Nimbus Roman No9 L" w:eastAsia="仿宋_GB2312" w:cs="Nimbus Roman No9 L"/>
          <w:sz w:val="32"/>
          <w:szCs w:val="32"/>
        </w:rPr>
      </w:pPr>
      <w:r>
        <w:rPr>
          <w:rFonts w:hint="eastAsia" w:ascii="仿宋_GB2312" w:hAnsi="Nimbus Roman No9 L" w:eastAsia="仿宋_GB2312" w:cs="Nimbus Roman No9 L"/>
          <w:sz w:val="32"/>
          <w:szCs w:val="32"/>
        </w:rPr>
        <w:t>（二）锡林郭勒盟卧龙泉赛马场等4个项目制定了植被恢复治理方案，已恢复植被并通过属地林草部门验收。</w:t>
      </w:r>
    </w:p>
    <w:p>
      <w:pPr>
        <w:keepNext w:val="0"/>
        <w:keepLines w:val="0"/>
        <w:pageBreakBefore w:val="0"/>
        <w:widowControl w:val="0"/>
        <w:kinsoku/>
        <w:wordWrap/>
        <w:overflowPunct/>
        <w:topLinePunct w:val="0"/>
        <w:autoSpaceDE/>
        <w:autoSpaceDN/>
        <w:bidi w:val="0"/>
        <w:adjustRightInd/>
        <w:spacing w:line="600" w:lineRule="exact"/>
        <w:ind w:firstLine="640" w:firstLineChars="200"/>
        <w:jc w:val="both"/>
        <w:textAlignment w:val="auto"/>
        <w:rPr>
          <w:rFonts w:hint="eastAsia" w:ascii="仿宋_GB2312" w:hAnsi="Nimbus Roman No9 L" w:eastAsia="仿宋_GB2312" w:cs="Nimbus Roman No9 L"/>
          <w:sz w:val="32"/>
          <w:szCs w:val="32"/>
        </w:rPr>
      </w:pPr>
      <w:r>
        <w:rPr>
          <w:rFonts w:hint="eastAsia" w:ascii="仿宋_GB2312" w:hAnsi="Nimbus Roman No9 L" w:eastAsia="仿宋_GB2312" w:cs="Nimbus Roman No9 L"/>
          <w:sz w:val="32"/>
          <w:szCs w:val="32"/>
        </w:rPr>
        <w:t>（三）内蒙古金中矿业有限公司巴彦哈尔敖包金矿草原征占用审核手续已获批复。</w:t>
      </w:r>
    </w:p>
    <w:p>
      <w:pPr>
        <w:pStyle w:val="2"/>
        <w:keepNext w:val="0"/>
        <w:keepLines w:val="0"/>
        <w:pageBreakBefore w:val="0"/>
        <w:widowControl w:val="0"/>
        <w:kinsoku/>
        <w:wordWrap/>
        <w:overflowPunct/>
        <w:topLinePunct w:val="0"/>
        <w:autoSpaceDE/>
        <w:autoSpaceDN/>
        <w:bidi w:val="0"/>
        <w:adjustRightInd/>
        <w:spacing w:after="0" w:line="600" w:lineRule="exact"/>
        <w:ind w:left="0" w:leftChars="0" w:firstLine="640" w:firstLineChars="200"/>
        <w:jc w:val="both"/>
        <w:textAlignment w:val="auto"/>
        <w:rPr>
          <w:rFonts w:hint="default" w:ascii="仿宋_GB2312" w:hAnsi="仿宋_GB2312" w:eastAsia="仿宋_GB2312" w:cs="仿宋_GB2312"/>
          <w:color w:val="auto"/>
          <w:sz w:val="32"/>
          <w:szCs w:val="32"/>
          <w:lang w:val="en-US" w:eastAsia="zh-CN"/>
        </w:rPr>
      </w:pPr>
      <w:r>
        <w:rPr>
          <w:rFonts w:hint="eastAsia" w:ascii="仿宋_GB2312" w:hAnsi="Nimbus Roman No9 L" w:eastAsia="仿宋_GB2312" w:cs="Nimbus Roman No9 L"/>
          <w:sz w:val="32"/>
          <w:szCs w:val="32"/>
        </w:rPr>
        <w:t>（四）对违规违法占用草原林地项目问题进行深入排查，建立了整改台账，全部明确了整改措施、责任主体和完成时限。</w:t>
      </w:r>
    </w:p>
    <w:p>
      <w:pPr>
        <w:keepNext w:val="0"/>
        <w:keepLines w:val="0"/>
        <w:pageBreakBefore w:val="0"/>
        <w:widowControl w:val="0"/>
        <w:kinsoku/>
        <w:wordWrap/>
        <w:overflowPunct/>
        <w:topLinePunct w:val="0"/>
        <w:autoSpaceDE/>
        <w:autoSpaceDN/>
        <w:bidi w:val="0"/>
        <w:adjustRightInd/>
        <w:spacing w:line="600" w:lineRule="exact"/>
        <w:ind w:firstLine="640" w:firstLineChars="200"/>
        <w:jc w:val="both"/>
        <w:textAlignment w:val="auto"/>
        <w:rPr>
          <w:rFonts w:hint="eastAsia" w:ascii="楷体_GB2312" w:hAnsi="黑体" w:eastAsia="楷体_GB2312" w:cs="黑体"/>
          <w:w w:val="105"/>
          <w:sz w:val="32"/>
          <w:szCs w:val="32"/>
        </w:rPr>
      </w:pPr>
      <w:r>
        <w:rPr>
          <w:rFonts w:hint="eastAsia" w:ascii="仿宋_GB2312" w:hAnsi="仿宋_GB2312" w:eastAsia="仿宋_GB2312" w:cs="仿宋_GB2312"/>
          <w:color w:val="auto"/>
          <w:sz w:val="32"/>
          <w:szCs w:val="32"/>
          <w:lang w:val="en-US" w:eastAsia="zh-CN"/>
        </w:rPr>
        <w:t>7.</w:t>
      </w:r>
      <w:r>
        <w:rPr>
          <w:rFonts w:hint="eastAsia" w:ascii="楷体_GB2312" w:hAnsi="黑体" w:eastAsia="楷体_GB2312" w:cs="黑体"/>
          <w:w w:val="105"/>
          <w:sz w:val="32"/>
          <w:szCs w:val="32"/>
        </w:rPr>
        <w:t>《内蒙古自治区湿地保护“十三五”实施规划（2016—2020年）》要求，湿地保护所需资金纳入各级人民政府财政预算，到2020年湿地保护率达35%以上。督察发现，自治区林草部门和各盟市对湿地保护重视不够，全区12个盟市均未按照《湿地保护管理规定》要求编制湿地保护规划，呼和浩特、呼伦贝尔等8个盟市财政未安排湿地保护资金，全区湿地保护率为31.3%，未完成规划目标任务。</w:t>
      </w:r>
    </w:p>
    <w:p>
      <w:pPr>
        <w:keepNext w:val="0"/>
        <w:keepLines w:val="0"/>
        <w:pageBreakBefore w:val="0"/>
        <w:widowControl w:val="0"/>
        <w:kinsoku/>
        <w:wordWrap/>
        <w:overflowPunct/>
        <w:topLinePunct w:val="0"/>
        <w:autoSpaceDE/>
        <w:autoSpaceDN/>
        <w:bidi w:val="0"/>
        <w:adjustRightInd/>
        <w:spacing w:line="600" w:lineRule="exact"/>
        <w:ind w:firstLine="640" w:firstLineChars="200"/>
        <w:jc w:val="both"/>
        <w:textAlignment w:val="auto"/>
        <w:rPr>
          <w:rFonts w:hint="default" w:ascii="仿宋_GB2312" w:hAnsi="仿宋_GB2312" w:eastAsia="仿宋_GB2312" w:cs="仿宋_GB2312"/>
          <w:color w:val="auto"/>
          <w:sz w:val="32"/>
          <w:szCs w:val="32"/>
          <w:lang w:val="en-US" w:eastAsia="zh-CN"/>
        </w:rPr>
      </w:pPr>
      <w:r>
        <w:rPr>
          <w:rFonts w:hint="eastAsia" w:ascii="黑体" w:hAnsi="黑体" w:eastAsia="黑体" w:cs="黑体"/>
          <w:sz w:val="32"/>
          <w:szCs w:val="32"/>
        </w:rPr>
        <w:t>整改进展情况：</w:t>
      </w:r>
      <w:r>
        <w:rPr>
          <w:rFonts w:hint="eastAsia" w:ascii="黑体" w:hAnsi="黑体" w:eastAsia="黑体" w:cs="黑体"/>
          <w:sz w:val="32"/>
          <w:szCs w:val="32"/>
          <w:lang w:eastAsia="zh-CN"/>
        </w:rPr>
        <w:t>已完成整改</w:t>
      </w:r>
    </w:p>
    <w:p>
      <w:pPr>
        <w:pStyle w:val="2"/>
        <w:keepNext w:val="0"/>
        <w:keepLines w:val="0"/>
        <w:pageBreakBefore w:val="0"/>
        <w:widowControl w:val="0"/>
        <w:kinsoku/>
        <w:wordWrap/>
        <w:overflowPunct/>
        <w:topLinePunct w:val="0"/>
        <w:autoSpaceDE/>
        <w:autoSpaceDN/>
        <w:bidi w:val="0"/>
        <w:adjustRightInd/>
        <w:spacing w:after="0" w:line="600" w:lineRule="exact"/>
        <w:ind w:left="0" w:leftChars="0" w:firstLine="640" w:firstLineChars="200"/>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（一）</w:t>
      </w:r>
      <w:r>
        <w:rPr>
          <w:rFonts w:hint="default" w:ascii="仿宋_GB2312" w:hAnsi="仿宋_GB2312" w:eastAsia="仿宋_GB2312" w:cs="仿宋_GB2312"/>
          <w:color w:val="auto"/>
          <w:sz w:val="32"/>
          <w:szCs w:val="32"/>
          <w:lang w:val="en-US" w:eastAsia="zh-CN"/>
        </w:rPr>
        <w:t>依据国土“三调”,将湿地面积总量管控目标分解到各旗县市</w:t>
      </w:r>
      <w:r>
        <w:rPr>
          <w:rFonts w:hint="eastAsia" w:ascii="仿宋_GB2312" w:hAnsi="仿宋_GB2312" w:eastAsia="仿宋_GB2312" w:cs="仿宋_GB2312"/>
          <w:color w:val="auto"/>
          <w:sz w:val="32"/>
          <w:szCs w:val="32"/>
          <w:lang w:val="en-US" w:eastAsia="zh-CN"/>
        </w:rPr>
        <w:t>（</w:t>
      </w:r>
      <w:r>
        <w:rPr>
          <w:rFonts w:hint="default"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lang w:val="en-US" w:eastAsia="zh-CN"/>
        </w:rPr>
        <w:t>）</w:t>
      </w:r>
      <w:r>
        <w:rPr>
          <w:rFonts w:hint="default" w:ascii="仿宋_GB2312" w:hAnsi="仿宋_GB2312" w:eastAsia="仿宋_GB2312" w:cs="仿宋_GB2312"/>
          <w:color w:val="auto"/>
          <w:sz w:val="32"/>
          <w:szCs w:val="32"/>
          <w:lang w:val="en-US" w:eastAsia="zh-CN"/>
        </w:rPr>
        <w:t>。</w:t>
      </w:r>
    </w:p>
    <w:p>
      <w:pPr>
        <w:pStyle w:val="2"/>
        <w:keepNext w:val="0"/>
        <w:keepLines w:val="0"/>
        <w:pageBreakBefore w:val="0"/>
        <w:widowControl w:val="0"/>
        <w:kinsoku/>
        <w:wordWrap/>
        <w:overflowPunct/>
        <w:topLinePunct w:val="0"/>
        <w:autoSpaceDE/>
        <w:autoSpaceDN/>
        <w:bidi w:val="0"/>
        <w:adjustRightInd/>
        <w:spacing w:after="0" w:line="600" w:lineRule="exact"/>
        <w:ind w:left="0" w:leftChars="0" w:firstLine="640" w:firstLineChars="200"/>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（二）</w:t>
      </w:r>
      <w:r>
        <w:rPr>
          <w:rFonts w:hint="default" w:ascii="仿宋_GB2312" w:hAnsi="仿宋_GB2312" w:eastAsia="仿宋_GB2312" w:cs="仿宋_GB2312"/>
          <w:color w:val="auto"/>
          <w:sz w:val="32"/>
          <w:szCs w:val="32"/>
          <w:lang w:val="en-US" w:eastAsia="zh-CN"/>
        </w:rPr>
        <w:t>2022年列入自治区重要湿地2处，认定盟级重要湿地5处。2023年列入自治区重要湿地1处，认定盟级重要湿地18处、小微湿地2处。2024年认定盟级重要湿地1处、小微湿地2处。</w:t>
      </w:r>
    </w:p>
    <w:p>
      <w:pPr>
        <w:pStyle w:val="2"/>
        <w:keepNext w:val="0"/>
        <w:keepLines w:val="0"/>
        <w:pageBreakBefore w:val="0"/>
        <w:widowControl w:val="0"/>
        <w:kinsoku/>
        <w:wordWrap/>
        <w:overflowPunct/>
        <w:topLinePunct w:val="0"/>
        <w:autoSpaceDE/>
        <w:autoSpaceDN/>
        <w:bidi w:val="0"/>
        <w:adjustRightInd/>
        <w:spacing w:after="0" w:line="600" w:lineRule="exact"/>
        <w:ind w:left="0" w:leftChars="0" w:firstLine="640" w:firstLineChars="200"/>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（三）</w:t>
      </w:r>
      <w:r>
        <w:rPr>
          <w:rFonts w:hint="eastAsia" w:ascii="仿宋_GB2312" w:hAnsi="Nimbus Roman No9 L" w:eastAsia="仿宋_GB2312" w:cs="Nimbus Roman No9 L"/>
          <w:sz w:val="32"/>
          <w:szCs w:val="32"/>
        </w:rPr>
        <w:t>将湿地保护资金纳入年度财政预算，为湿地保护提供</w:t>
      </w:r>
      <w:r>
        <w:rPr>
          <w:rFonts w:hint="eastAsia" w:ascii="仿宋_GB2312" w:hAnsi="Nimbus Roman No9 L" w:eastAsia="仿宋_GB2312" w:cs="Nimbus Roman No9 L"/>
          <w:sz w:val="32"/>
          <w:szCs w:val="32"/>
          <w:lang w:eastAsia="zh-CN"/>
        </w:rPr>
        <w:t>了</w:t>
      </w:r>
      <w:r>
        <w:rPr>
          <w:rFonts w:hint="eastAsia" w:ascii="仿宋_GB2312" w:hAnsi="Nimbus Roman No9 L" w:eastAsia="仿宋_GB2312" w:cs="Nimbus Roman No9 L"/>
          <w:sz w:val="32"/>
          <w:szCs w:val="32"/>
        </w:rPr>
        <w:t>资金保障。</w:t>
      </w:r>
    </w:p>
    <w:p>
      <w:pPr>
        <w:pStyle w:val="2"/>
        <w:keepNext w:val="0"/>
        <w:keepLines w:val="0"/>
        <w:pageBreakBefore w:val="0"/>
        <w:widowControl w:val="0"/>
        <w:kinsoku/>
        <w:wordWrap/>
        <w:overflowPunct/>
        <w:topLinePunct w:val="0"/>
        <w:autoSpaceDE/>
        <w:autoSpaceDN/>
        <w:bidi w:val="0"/>
        <w:adjustRightInd/>
        <w:spacing w:after="0" w:line="600" w:lineRule="exact"/>
        <w:ind w:left="0" w:leftChars="0" w:firstLine="640" w:firstLineChars="200"/>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（四）</w:t>
      </w:r>
      <w:r>
        <w:rPr>
          <w:rFonts w:hint="default" w:ascii="仿宋_GB2312" w:hAnsi="仿宋_GB2312" w:eastAsia="仿宋_GB2312" w:cs="仿宋_GB2312"/>
          <w:color w:val="auto"/>
          <w:sz w:val="32"/>
          <w:szCs w:val="32"/>
          <w:lang w:val="en-US" w:eastAsia="zh-CN"/>
        </w:rPr>
        <w:t>《锡林郭勒盟湿地保护规划（2023-2030年）》已于2023年5月26日由行署印发</w:t>
      </w:r>
      <w:r>
        <w:rPr>
          <w:rFonts w:hint="eastAsia" w:ascii="仿宋_GB2312" w:hAnsi="仿宋_GB2312" w:eastAsia="仿宋_GB2312" w:cs="仿宋_GB2312"/>
          <w:color w:val="auto"/>
          <w:sz w:val="32"/>
          <w:szCs w:val="32"/>
          <w:lang w:val="en-US" w:eastAsia="zh-CN"/>
        </w:rPr>
        <w:t>实施</w:t>
      </w:r>
      <w:r>
        <w:rPr>
          <w:rFonts w:hint="default" w:ascii="仿宋_GB2312" w:hAnsi="仿宋_GB2312" w:eastAsia="仿宋_GB2312" w:cs="仿宋_GB2312"/>
          <w:color w:val="auto"/>
          <w:sz w:val="32"/>
          <w:szCs w:val="32"/>
          <w:lang w:val="en-US" w:eastAsia="zh-CN"/>
        </w:rPr>
        <w:t>。</w:t>
      </w:r>
    </w:p>
    <w:p>
      <w:pPr>
        <w:pStyle w:val="2"/>
        <w:keepNext w:val="0"/>
        <w:keepLines w:val="0"/>
        <w:pageBreakBefore w:val="0"/>
        <w:widowControl w:val="0"/>
        <w:kinsoku/>
        <w:wordWrap/>
        <w:overflowPunct/>
        <w:topLinePunct w:val="0"/>
        <w:autoSpaceDE/>
        <w:autoSpaceDN/>
        <w:bidi w:val="0"/>
        <w:adjustRightInd/>
        <w:spacing w:after="0" w:line="600" w:lineRule="exact"/>
        <w:ind w:left="0" w:leftChars="0" w:firstLine="640" w:firstLineChars="200"/>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（五）</w:t>
      </w:r>
      <w:r>
        <w:rPr>
          <w:rFonts w:hint="default" w:ascii="仿宋_GB2312" w:hAnsi="仿宋_GB2312" w:eastAsia="仿宋_GB2312" w:cs="仿宋_GB2312"/>
          <w:color w:val="auto"/>
          <w:sz w:val="32"/>
          <w:szCs w:val="32"/>
          <w:lang w:val="en-US" w:eastAsia="zh-CN"/>
        </w:rPr>
        <w:t>加大日常巡护和监测，加强重要区域湿地保护，严格对湿地用途的管控，强化湿地公园监管，严禁开（围）垦、填埋、占用湿地或改变湿地用途等破坏湿地的行为</w:t>
      </w:r>
      <w:r>
        <w:rPr>
          <w:rFonts w:hint="eastAsia" w:ascii="仿宋_GB2312" w:hAnsi="仿宋_GB2312" w:eastAsia="仿宋_GB2312" w:cs="仿宋_GB2312"/>
          <w:color w:val="auto"/>
          <w:sz w:val="32"/>
          <w:szCs w:val="32"/>
          <w:lang w:val="en-US" w:eastAsia="zh-CN"/>
        </w:rPr>
        <w:t>发生</w:t>
      </w:r>
      <w:r>
        <w:rPr>
          <w:rFonts w:hint="default" w:ascii="仿宋_GB2312" w:hAnsi="仿宋_GB2312" w:eastAsia="仿宋_GB2312" w:cs="仿宋_GB2312"/>
          <w:color w:val="auto"/>
          <w:sz w:val="32"/>
          <w:szCs w:val="32"/>
          <w:lang w:val="en-US" w:eastAsia="zh-CN"/>
        </w:rPr>
        <w:t>。</w:t>
      </w:r>
    </w:p>
    <w:p>
      <w:pPr>
        <w:keepNext w:val="0"/>
        <w:keepLines w:val="0"/>
        <w:pageBreakBefore w:val="0"/>
        <w:widowControl w:val="0"/>
        <w:kinsoku/>
        <w:wordWrap/>
        <w:overflowPunct/>
        <w:topLinePunct w:val="0"/>
        <w:autoSpaceDE/>
        <w:autoSpaceDN/>
        <w:bidi w:val="0"/>
        <w:adjustRightInd/>
        <w:spacing w:line="600" w:lineRule="exact"/>
        <w:ind w:firstLine="640" w:firstLineChars="200"/>
        <w:jc w:val="both"/>
        <w:textAlignment w:val="auto"/>
        <w:rPr>
          <w:rFonts w:hint="default"/>
          <w:lang w:val="en-US" w:eastAsia="zh-CN"/>
        </w:rPr>
      </w:pPr>
      <w:r>
        <w:rPr>
          <w:rFonts w:hint="eastAsia" w:ascii="黑体" w:hAnsi="黑体" w:eastAsia="黑体" w:cs="黑体"/>
          <w:sz w:val="32"/>
          <w:szCs w:val="32"/>
          <w:lang w:val="en-US" w:eastAsia="zh-CN"/>
        </w:rPr>
        <w:t>三、</w:t>
      </w:r>
      <w:r>
        <w:rPr>
          <w:rFonts w:hint="eastAsia" w:ascii="黑体" w:hAnsi="黑体" w:eastAsia="黑体" w:cs="黑体"/>
          <w:sz w:val="32"/>
          <w:szCs w:val="32"/>
        </w:rPr>
        <w:t>其他需要关注的问题方面</w:t>
      </w:r>
    </w:p>
    <w:p>
      <w:pPr>
        <w:pStyle w:val="4"/>
        <w:keepNext w:val="0"/>
        <w:keepLines w:val="0"/>
        <w:pageBreakBefore w:val="0"/>
        <w:widowControl w:val="0"/>
        <w:kinsoku/>
        <w:wordWrap/>
        <w:overflowPunct/>
        <w:topLinePunct w:val="0"/>
        <w:autoSpaceDE/>
        <w:autoSpaceDN/>
        <w:bidi w:val="0"/>
        <w:adjustRightInd/>
        <w:spacing w:line="600" w:lineRule="exact"/>
        <w:ind w:firstLine="640" w:firstLineChars="200"/>
        <w:jc w:val="both"/>
        <w:textAlignment w:val="auto"/>
        <w:rPr>
          <w:rFonts w:hint="eastAsia" w:ascii="楷体_GB2312" w:hAnsi="仿宋_GB2312" w:eastAsia="楷体_GB2312" w:cs="仿宋_GB2312"/>
          <w:w w:val="105"/>
          <w:sz w:val="32"/>
          <w:szCs w:val="32"/>
        </w:rPr>
      </w:pPr>
      <w:r>
        <w:rPr>
          <w:rFonts w:hint="eastAsia" w:ascii="楷体_GB2312" w:hAnsi="楷体_GB2312" w:eastAsia="楷体_GB2312" w:cs="楷体_GB2312"/>
          <w:b w:val="0"/>
          <w:bCs w:val="0"/>
          <w:color w:val="auto"/>
          <w:sz w:val="32"/>
          <w:szCs w:val="32"/>
          <w:lang w:val="en-US" w:eastAsia="zh-CN"/>
        </w:rPr>
        <w:t>8.</w:t>
      </w:r>
      <w:r>
        <w:rPr>
          <w:rFonts w:hint="eastAsia" w:ascii="楷体_GB2312" w:hAnsi="黑体" w:eastAsia="楷体_GB2312" w:cs="黑体"/>
          <w:w w:val="105"/>
          <w:sz w:val="32"/>
          <w:szCs w:val="32"/>
        </w:rPr>
        <w:t>锡林浩特市生活垃圾填埋场2011年投运，至2021年才开始建设渗滤液处理设施。</w:t>
      </w:r>
    </w:p>
    <w:p>
      <w:pPr>
        <w:keepNext w:val="0"/>
        <w:keepLines w:val="0"/>
        <w:pageBreakBefore w:val="0"/>
        <w:widowControl w:val="0"/>
        <w:kinsoku/>
        <w:wordWrap/>
        <w:overflowPunct/>
        <w:topLinePunct w:val="0"/>
        <w:autoSpaceDE/>
        <w:autoSpaceDN/>
        <w:bidi w:val="0"/>
        <w:adjustRightInd/>
        <w:spacing w:line="600" w:lineRule="exact"/>
        <w:ind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整改进展情况：已完成整改</w:t>
      </w:r>
    </w:p>
    <w:p>
      <w:pPr>
        <w:keepNext w:val="0"/>
        <w:keepLines w:val="0"/>
        <w:pageBreakBefore w:val="0"/>
        <w:widowControl w:val="0"/>
        <w:kinsoku/>
        <w:wordWrap/>
        <w:overflowPunct/>
        <w:topLinePunct w:val="0"/>
        <w:autoSpaceDE/>
        <w:autoSpaceDN/>
        <w:bidi w:val="0"/>
        <w:adjustRightInd/>
        <w:spacing w:line="600" w:lineRule="exact"/>
        <w:ind w:firstLine="640" w:firstLineChars="200"/>
        <w:jc w:val="both"/>
        <w:textAlignment w:val="auto"/>
        <w:rPr>
          <w:rFonts w:hint="eastAsia" w:ascii="仿宋_GB2312" w:hAnsi="Nimbus Roman No9 L" w:eastAsia="仿宋_GB2312" w:cs="Nimbus Roman No9 L"/>
          <w:sz w:val="32"/>
          <w:szCs w:val="32"/>
        </w:rPr>
      </w:pPr>
      <w:r>
        <w:rPr>
          <w:rFonts w:hint="eastAsia" w:ascii="仿宋_GB2312" w:hAnsi="Nimbus Roman No9 L" w:eastAsia="仿宋_GB2312" w:cs="Nimbus Roman No9 L"/>
          <w:sz w:val="32"/>
          <w:szCs w:val="32"/>
        </w:rPr>
        <w:t>（一）锡林浩特市城镇生活垃圾填埋场渗滤液处理设施已于2022年8月通过验收，实现正常运行。</w:t>
      </w:r>
    </w:p>
    <w:p>
      <w:pPr>
        <w:pStyle w:val="8"/>
        <w:keepNext w:val="0"/>
        <w:keepLines w:val="0"/>
        <w:pageBreakBefore w:val="0"/>
        <w:widowControl w:val="0"/>
        <w:numPr>
          <w:ilvl w:val="0"/>
          <w:numId w:val="0"/>
        </w:numPr>
        <w:kinsoku/>
        <w:wordWrap/>
        <w:overflowPunct/>
        <w:topLinePunct w:val="0"/>
        <w:autoSpaceDE/>
        <w:autoSpaceDN/>
        <w:bidi w:val="0"/>
        <w:adjustRightInd/>
        <w:snapToGrid w:val="0"/>
        <w:spacing w:line="600" w:lineRule="exact"/>
        <w:ind w:firstLine="640" w:firstLineChars="200"/>
        <w:jc w:val="both"/>
        <w:textAlignment w:val="auto"/>
        <w:rPr>
          <w:rFonts w:hint="default" w:ascii="黑体" w:hAnsi="黑体" w:eastAsia="黑体" w:cs="黑体"/>
          <w:b w:val="0"/>
          <w:bCs w:val="0"/>
          <w:color w:val="auto"/>
          <w:sz w:val="32"/>
          <w:szCs w:val="32"/>
          <w:lang w:val="en-US" w:eastAsia="zh-CN"/>
        </w:rPr>
      </w:pPr>
      <w:r>
        <w:rPr>
          <w:rFonts w:hint="eastAsia" w:ascii="仿宋_GB2312" w:hAnsi="Nimbus Roman No9 L" w:eastAsia="仿宋_GB2312" w:cs="Nimbus Roman No9 L"/>
          <w:sz w:val="32"/>
          <w:szCs w:val="32"/>
        </w:rPr>
        <w:t>（二）制定《垃圾渗滤液处理设施排查整治工作方案》，对全盟生活垃圾填埋场渗滤液处理设施进行全面排查，排查出的18个问题已全部完成整改。</w:t>
      </w:r>
    </w:p>
    <w:p>
      <w:pPr>
        <w:pStyle w:val="4"/>
        <w:keepNext w:val="0"/>
        <w:keepLines w:val="0"/>
        <w:pageBreakBefore w:val="0"/>
        <w:widowControl w:val="0"/>
        <w:kinsoku/>
        <w:wordWrap/>
        <w:overflowPunct/>
        <w:topLinePunct w:val="0"/>
        <w:autoSpaceDE/>
        <w:autoSpaceDN/>
        <w:bidi w:val="0"/>
        <w:adjustRightInd/>
        <w:spacing w:line="600" w:lineRule="exact"/>
        <w:ind w:firstLine="640" w:firstLineChars="200"/>
        <w:jc w:val="both"/>
        <w:textAlignment w:val="auto"/>
        <w:rPr>
          <w:rFonts w:hint="eastAsia" w:ascii="楷体_GB2312" w:hAnsi="仿宋_GB2312" w:eastAsia="楷体_GB2312" w:cs="仿宋_GB2312"/>
          <w:w w:val="105"/>
          <w:sz w:val="32"/>
          <w:szCs w:val="32"/>
        </w:rPr>
      </w:pPr>
      <w:r>
        <w:rPr>
          <w:rFonts w:hint="eastAsia" w:ascii="楷体_GB2312" w:hAnsi="楷体_GB2312" w:eastAsia="楷体_GB2312" w:cs="楷体_GB2312"/>
          <w:b w:val="0"/>
          <w:bCs w:val="0"/>
          <w:color w:val="auto"/>
          <w:sz w:val="32"/>
          <w:szCs w:val="32"/>
          <w:lang w:val="en-US" w:eastAsia="zh-CN"/>
        </w:rPr>
        <w:t>9.</w:t>
      </w:r>
      <w:r>
        <w:rPr>
          <w:rFonts w:hint="eastAsia" w:ascii="楷体_GB2312" w:hAnsi="黑体" w:eastAsia="楷体_GB2312" w:cs="黑体"/>
          <w:w w:val="105"/>
          <w:sz w:val="32"/>
          <w:szCs w:val="32"/>
        </w:rPr>
        <w:t>城镇现有生活垃圾处理设施与垃圾分类需求不匹配，全区69个旗县、20个设市城市均应建设餐厨垃圾处理设施，目前仅建成14座。</w:t>
      </w:r>
    </w:p>
    <w:p>
      <w:pPr>
        <w:pStyle w:val="8"/>
        <w:keepNext w:val="0"/>
        <w:keepLines w:val="0"/>
        <w:pageBreakBefore w:val="0"/>
        <w:widowControl w:val="0"/>
        <w:numPr>
          <w:ilvl w:val="0"/>
          <w:numId w:val="0"/>
        </w:numPr>
        <w:kinsoku/>
        <w:wordWrap/>
        <w:overflowPunct/>
        <w:topLinePunct w:val="0"/>
        <w:autoSpaceDE/>
        <w:autoSpaceDN/>
        <w:bidi w:val="0"/>
        <w:adjustRightInd/>
        <w:snapToGrid w:val="0"/>
        <w:spacing w:line="600" w:lineRule="exact"/>
        <w:ind w:firstLine="640" w:firstLineChars="200"/>
        <w:jc w:val="both"/>
        <w:textAlignment w:val="auto"/>
        <w:rPr>
          <w:rFonts w:hint="default" w:ascii="黑体" w:hAnsi="黑体" w:eastAsia="黑体" w:cs="黑体"/>
          <w:b w:val="0"/>
          <w:bCs w:val="0"/>
          <w:color w:val="auto"/>
          <w:sz w:val="32"/>
          <w:szCs w:val="32"/>
          <w:lang w:val="en-US" w:eastAsia="zh-CN"/>
        </w:rPr>
      </w:pPr>
      <w:r>
        <w:rPr>
          <w:rFonts w:hint="eastAsia" w:ascii="黑体" w:hAnsi="黑体" w:eastAsia="黑体" w:cs="黑体"/>
          <w:sz w:val="32"/>
          <w:szCs w:val="32"/>
        </w:rPr>
        <w:t>整改进展情况：已完成整改</w:t>
      </w:r>
    </w:p>
    <w:p>
      <w:pPr>
        <w:pStyle w:val="8"/>
        <w:keepNext w:val="0"/>
        <w:keepLines w:val="0"/>
        <w:pageBreakBefore w:val="0"/>
        <w:widowControl w:val="0"/>
        <w:numPr>
          <w:ilvl w:val="0"/>
          <w:numId w:val="0"/>
        </w:numPr>
        <w:kinsoku/>
        <w:wordWrap/>
        <w:overflowPunct/>
        <w:topLinePunct w:val="0"/>
        <w:autoSpaceDE/>
        <w:autoSpaceDN/>
        <w:bidi w:val="0"/>
        <w:adjustRightInd/>
        <w:snapToGrid w:val="0"/>
        <w:spacing w:line="600" w:lineRule="exact"/>
        <w:ind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（一）锡盟2个地区在督察进驻前已建成餐厨垃圾处理设施，其余11个地区均按照《锡林郭勒盟贯彻落实第二轮中央生态环境保护督察报告整改方案》整改措施要求，制定了餐厨垃圾处理设施建设方案。</w:t>
      </w:r>
    </w:p>
    <w:p>
      <w:pPr>
        <w:pStyle w:val="8"/>
        <w:keepNext w:val="0"/>
        <w:keepLines w:val="0"/>
        <w:pageBreakBefore w:val="0"/>
        <w:widowControl w:val="0"/>
        <w:numPr>
          <w:ilvl w:val="0"/>
          <w:numId w:val="0"/>
        </w:numPr>
        <w:kinsoku/>
        <w:wordWrap/>
        <w:overflowPunct/>
        <w:topLinePunct w:val="0"/>
        <w:autoSpaceDE/>
        <w:autoSpaceDN/>
        <w:bidi w:val="0"/>
        <w:adjustRightInd/>
        <w:snapToGrid w:val="0"/>
        <w:spacing w:line="600" w:lineRule="exact"/>
        <w:ind w:firstLine="640" w:firstLineChars="200"/>
        <w:jc w:val="both"/>
        <w:textAlignment w:val="auto"/>
        <w:rPr>
          <w:rFonts w:hint="eastAsia" w:ascii="仿宋_GB2312" w:hAnsi="Nimbus Roman No9 L" w:eastAsia="仿宋_GB2312" w:cs="Nimbus Roman No9 L"/>
          <w:color w:val="auto"/>
          <w:sz w:val="32"/>
          <w:szCs w:val="32"/>
        </w:rPr>
      </w:pPr>
      <w:r>
        <w:rPr>
          <w:rFonts w:hint="eastAsia" w:ascii="仿宋_GB2312" w:hAnsi="仿宋_GB2312" w:eastAsia="仿宋_GB2312" w:cs="仿宋_GB2312"/>
          <w:b w:val="0"/>
          <w:bCs w:val="0"/>
          <w:color w:val="auto"/>
          <w:sz w:val="32"/>
          <w:szCs w:val="32"/>
          <w:lang w:val="en-US" w:eastAsia="zh-CN"/>
        </w:rPr>
        <w:t>（二）截至2025年12月中旬，11</w:t>
      </w:r>
      <w:r>
        <w:rPr>
          <w:rFonts w:hint="eastAsia" w:ascii="仿宋_GB2312" w:hAnsi="Nimbus Roman No9 L" w:eastAsia="仿宋_GB2312" w:cs="Nimbus Roman No9 L"/>
          <w:color w:val="auto"/>
          <w:sz w:val="32"/>
          <w:szCs w:val="32"/>
        </w:rPr>
        <w:t>个</w:t>
      </w:r>
      <w:r>
        <w:rPr>
          <w:rFonts w:hint="eastAsia" w:ascii="仿宋_GB2312" w:hAnsi="Nimbus Roman No9 L" w:eastAsia="仿宋_GB2312" w:cs="Nimbus Roman No9 L"/>
          <w:color w:val="auto"/>
          <w:sz w:val="32"/>
          <w:szCs w:val="32"/>
          <w:lang w:eastAsia="zh-CN"/>
        </w:rPr>
        <w:t>地区的</w:t>
      </w:r>
      <w:r>
        <w:rPr>
          <w:rFonts w:hint="eastAsia" w:ascii="仿宋_GB2312" w:hAnsi="Nimbus Roman No9 L" w:eastAsia="仿宋_GB2312" w:cs="Nimbus Roman No9 L"/>
          <w:color w:val="auto"/>
          <w:sz w:val="32"/>
          <w:szCs w:val="32"/>
        </w:rPr>
        <w:t>餐厨垃圾处理设施</w:t>
      </w:r>
      <w:r>
        <w:rPr>
          <w:rFonts w:hint="eastAsia" w:ascii="仿宋_GB2312" w:hAnsi="Nimbus Roman No9 L" w:eastAsia="仿宋_GB2312" w:cs="Nimbus Roman No9 L"/>
          <w:color w:val="auto"/>
          <w:sz w:val="32"/>
          <w:szCs w:val="32"/>
          <w:lang w:eastAsia="zh-CN"/>
        </w:rPr>
        <w:t>已全部建成投运</w:t>
      </w:r>
      <w:r>
        <w:rPr>
          <w:rFonts w:hint="eastAsia" w:ascii="仿宋_GB2312" w:hAnsi="Nimbus Roman No9 L" w:eastAsia="仿宋_GB2312" w:cs="Nimbus Roman No9 L"/>
          <w:color w:val="auto"/>
          <w:sz w:val="32"/>
          <w:szCs w:val="32"/>
        </w:rPr>
        <w:t>。</w:t>
      </w:r>
    </w:p>
    <w:p>
      <w:pPr>
        <w:pStyle w:val="4"/>
        <w:keepNext w:val="0"/>
        <w:keepLines w:val="0"/>
        <w:pageBreakBefore w:val="0"/>
        <w:widowControl w:val="0"/>
        <w:kinsoku/>
        <w:wordWrap/>
        <w:overflowPunct/>
        <w:topLinePunct w:val="0"/>
        <w:autoSpaceDE/>
        <w:autoSpaceDN/>
        <w:bidi w:val="0"/>
        <w:adjustRightInd/>
        <w:spacing w:line="600" w:lineRule="exact"/>
        <w:ind w:firstLine="672" w:firstLineChars="200"/>
        <w:jc w:val="both"/>
        <w:textAlignment w:val="auto"/>
        <w:rPr>
          <w:rFonts w:hint="eastAsia" w:ascii="楷体_GB2312" w:hAnsi="黑体" w:eastAsia="楷体_GB2312" w:cs="黑体"/>
          <w:color w:val="auto"/>
          <w:w w:val="105"/>
          <w:sz w:val="32"/>
          <w:szCs w:val="32"/>
        </w:rPr>
      </w:pPr>
      <w:r>
        <w:rPr>
          <w:rFonts w:hint="eastAsia" w:ascii="楷体_GB2312" w:hAnsi="黑体" w:eastAsia="楷体_GB2312" w:cs="黑体"/>
          <w:color w:val="auto"/>
          <w:w w:val="105"/>
          <w:sz w:val="32"/>
          <w:szCs w:val="32"/>
          <w:lang w:val="en-US" w:eastAsia="zh-CN"/>
        </w:rPr>
        <w:t>10.</w:t>
      </w:r>
      <w:r>
        <w:rPr>
          <w:rFonts w:hint="eastAsia" w:ascii="楷体_GB2312" w:hAnsi="黑体" w:eastAsia="楷体_GB2312" w:cs="黑体"/>
          <w:color w:val="auto"/>
          <w:w w:val="105"/>
          <w:sz w:val="32"/>
          <w:szCs w:val="32"/>
        </w:rPr>
        <w:t>自治区现有尾矿库750座，其中四、五等小型尾矿库709座、占比近95%，尾矿成分复杂，一些尾矿库污染防治措施不到位，环境风险隐患突出。</w:t>
      </w:r>
    </w:p>
    <w:p>
      <w:pPr>
        <w:pStyle w:val="8"/>
        <w:keepNext w:val="0"/>
        <w:keepLines w:val="0"/>
        <w:pageBreakBefore w:val="0"/>
        <w:widowControl w:val="0"/>
        <w:numPr>
          <w:ilvl w:val="0"/>
          <w:numId w:val="0"/>
        </w:numPr>
        <w:kinsoku/>
        <w:wordWrap/>
        <w:overflowPunct/>
        <w:topLinePunct w:val="0"/>
        <w:autoSpaceDE/>
        <w:autoSpaceDN/>
        <w:bidi w:val="0"/>
        <w:adjustRightInd/>
        <w:snapToGrid w:val="0"/>
        <w:spacing w:line="600" w:lineRule="exact"/>
        <w:ind w:firstLine="640" w:firstLineChars="200"/>
        <w:jc w:val="both"/>
        <w:textAlignment w:val="auto"/>
        <w:rPr>
          <w:rFonts w:hint="eastAsia" w:ascii="黑体" w:hAnsi="黑体" w:eastAsia="黑体" w:cs="黑体"/>
          <w:b w:val="0"/>
          <w:bCs w:val="0"/>
          <w:color w:val="auto"/>
          <w:sz w:val="32"/>
          <w:szCs w:val="32"/>
          <w:lang w:val="en-US" w:eastAsia="zh-CN"/>
        </w:rPr>
      </w:pPr>
      <w:r>
        <w:rPr>
          <w:rFonts w:hint="eastAsia" w:ascii="黑体" w:hAnsi="黑体" w:eastAsia="黑体" w:cs="黑体"/>
          <w:color w:val="auto"/>
          <w:sz w:val="32"/>
          <w:szCs w:val="32"/>
        </w:rPr>
        <w:t>整改进展情况：</w:t>
      </w:r>
      <w:r>
        <w:rPr>
          <w:rFonts w:hint="eastAsia" w:ascii="黑体" w:hAnsi="黑体" w:eastAsia="黑体" w:cs="黑体"/>
          <w:color w:val="auto"/>
          <w:sz w:val="32"/>
          <w:szCs w:val="32"/>
          <w:lang w:eastAsia="zh-CN"/>
        </w:rPr>
        <w:t>已完成整改</w:t>
      </w:r>
    </w:p>
    <w:p>
      <w:pPr>
        <w:keepNext w:val="0"/>
        <w:keepLines w:val="0"/>
        <w:pageBreakBefore w:val="0"/>
        <w:widowControl w:val="0"/>
        <w:kinsoku/>
        <w:wordWrap/>
        <w:overflowPunct/>
        <w:topLinePunct w:val="0"/>
        <w:autoSpaceDE/>
        <w:autoSpaceDN/>
        <w:bidi w:val="0"/>
        <w:adjustRightInd/>
        <w:spacing w:line="600" w:lineRule="exact"/>
        <w:ind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一）2022年7月制定下发《关于加强尾矿库隐患排查和污染治理有关工作的通知》（锡署环字〔2022〕72号），组织各旗县市（区）完成了全盟尾矿库隐患排查，共排查尾矿库52座，向自治区上报了全盟尾矿库清单和问题清单。</w:t>
      </w:r>
    </w:p>
    <w:p>
      <w:pPr>
        <w:keepNext w:val="0"/>
        <w:keepLines w:val="0"/>
        <w:pageBreakBefore w:val="0"/>
        <w:widowControl w:val="0"/>
        <w:kinsoku/>
        <w:wordWrap/>
        <w:overflowPunct/>
        <w:topLinePunct w:val="0"/>
        <w:autoSpaceDE/>
        <w:autoSpaceDN/>
        <w:bidi w:val="0"/>
        <w:adjustRightInd/>
        <w:spacing w:line="600" w:lineRule="exact"/>
        <w:ind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（二）存在风险隐患问题的14家企业已制定《尾矿库环境风险隐患问题整改（初步）方案》，并全部完成整改。</w:t>
      </w:r>
    </w:p>
    <w:p>
      <w:pPr>
        <w:keepNext w:val="0"/>
        <w:keepLines w:val="0"/>
        <w:pageBreakBefore w:val="0"/>
        <w:widowControl w:val="0"/>
        <w:kinsoku/>
        <w:wordWrap/>
        <w:overflowPunct/>
        <w:topLinePunct w:val="0"/>
        <w:autoSpaceDE/>
        <w:autoSpaceDN/>
        <w:bidi w:val="0"/>
        <w:adjustRightInd/>
        <w:spacing w:line="600" w:lineRule="exact"/>
        <w:ind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（三）</w:t>
      </w:r>
      <w:r>
        <w:rPr>
          <w:rFonts w:hint="eastAsia" w:ascii="仿宋_GB2312" w:hAnsi="Nimbus Roman No9 L" w:eastAsia="仿宋_GB2312" w:cs="Nimbus Roman No9 L"/>
          <w:color w:val="auto"/>
          <w:sz w:val="32"/>
          <w:szCs w:val="32"/>
        </w:rPr>
        <w:t>推动已运行到设计最终标高或不再进行排尾作业、停用时间超过3年复工复建无望的、没有生产经营单位的尾矿库闭库，全盟10座符合闭库条件的尾矿库已全部闭库</w:t>
      </w:r>
      <w:r>
        <w:rPr>
          <w:rFonts w:hint="eastAsia" w:ascii="仿宋_GB2312" w:hAnsi="Nimbus Roman No9 L" w:eastAsia="仿宋_GB2312" w:cs="Nimbus Roman No9 L"/>
          <w:color w:val="auto"/>
          <w:sz w:val="32"/>
          <w:szCs w:val="32"/>
          <w:lang w:eastAsia="zh-CN"/>
        </w:rPr>
        <w:t>。</w:t>
      </w:r>
    </w:p>
    <w:p>
      <w:pPr>
        <w:keepNext w:val="0"/>
        <w:keepLines w:val="0"/>
        <w:pageBreakBefore w:val="0"/>
        <w:widowControl w:val="0"/>
        <w:kinsoku/>
        <w:wordWrap/>
        <w:overflowPunct/>
        <w:topLinePunct w:val="0"/>
        <w:autoSpaceDE/>
        <w:autoSpaceDN/>
        <w:bidi w:val="0"/>
        <w:adjustRightInd/>
        <w:spacing w:line="600" w:lineRule="exact"/>
        <w:ind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（四）落实尾矿库分类分级环境监督管理制度，并完成了尾矿库风险隐患排查。按要求督促全盟尾矿库企业定期开展环境监测，进一步完善突发环境事件应急预案。</w:t>
      </w:r>
    </w:p>
    <w:p>
      <w:pPr>
        <w:pStyle w:val="4"/>
        <w:keepNext w:val="0"/>
        <w:keepLines w:val="0"/>
        <w:pageBreakBefore w:val="0"/>
        <w:widowControl w:val="0"/>
        <w:kinsoku/>
        <w:wordWrap/>
        <w:overflowPunct/>
        <w:topLinePunct w:val="0"/>
        <w:autoSpaceDE/>
        <w:autoSpaceDN/>
        <w:bidi w:val="0"/>
        <w:adjustRightInd/>
        <w:spacing w:line="600" w:lineRule="exact"/>
        <w:ind w:firstLine="640" w:firstLineChars="200"/>
        <w:jc w:val="both"/>
        <w:textAlignment w:val="auto"/>
        <w:rPr>
          <w:rFonts w:hint="eastAsia" w:ascii="楷体_GB2312" w:hAnsi="黑体" w:eastAsia="楷体_GB2312" w:cs="黑体"/>
          <w:w w:val="105"/>
          <w:sz w:val="32"/>
          <w:szCs w:val="32"/>
        </w:rPr>
      </w:pPr>
      <w:r>
        <w:rPr>
          <w:rFonts w:hint="eastAsia" w:ascii="楷体_GB2312" w:hAnsi="楷体_GB2312" w:eastAsia="楷体_GB2312" w:cs="楷体_GB2312"/>
          <w:b w:val="0"/>
          <w:bCs w:val="0"/>
          <w:color w:val="auto"/>
          <w:sz w:val="32"/>
          <w:szCs w:val="32"/>
          <w:lang w:val="en-US" w:eastAsia="zh-CN"/>
        </w:rPr>
        <w:t>11.</w:t>
      </w:r>
      <w:r>
        <w:rPr>
          <w:rFonts w:hint="eastAsia" w:ascii="楷体_GB2312" w:hAnsi="黑体" w:eastAsia="楷体_GB2312" w:cs="黑体"/>
          <w:w w:val="105"/>
          <w:sz w:val="32"/>
          <w:szCs w:val="32"/>
        </w:rPr>
        <w:t>锡林郭勒盟阿巴嘎旗必鲁甘干矿区32—56线铜钼矿露天采选项目，2012年10月前采用干排方式，用未做防渗处理的自然坑塘贮存尾矿，堆存约90万吨，目前仅对部分区域进行覆土绿化。</w:t>
      </w:r>
    </w:p>
    <w:p>
      <w:pPr>
        <w:keepNext w:val="0"/>
        <w:keepLines w:val="0"/>
        <w:pageBreakBefore w:val="0"/>
        <w:widowControl w:val="0"/>
        <w:kinsoku/>
        <w:wordWrap/>
        <w:overflowPunct/>
        <w:topLinePunct w:val="0"/>
        <w:autoSpaceDE/>
        <w:autoSpaceDN/>
        <w:bidi w:val="0"/>
        <w:adjustRightInd/>
        <w:spacing w:line="600" w:lineRule="exact"/>
        <w:ind w:firstLine="640" w:firstLineChars="200"/>
        <w:jc w:val="both"/>
        <w:textAlignment w:val="auto"/>
        <w:rPr>
          <w:rFonts w:hint="eastAsia" w:ascii="仿宋_GB2312" w:hAnsi="黑体" w:eastAsia="黑体" w:cs="黑体"/>
          <w:sz w:val="32"/>
          <w:szCs w:val="32"/>
          <w:lang w:eastAsia="zh-CN"/>
        </w:rPr>
      </w:pPr>
      <w:r>
        <w:rPr>
          <w:rFonts w:hint="eastAsia" w:ascii="黑体" w:hAnsi="黑体" w:eastAsia="黑体" w:cs="黑体"/>
          <w:sz w:val="32"/>
          <w:szCs w:val="32"/>
        </w:rPr>
        <w:t>整改进展情况：</w:t>
      </w:r>
      <w:r>
        <w:rPr>
          <w:rFonts w:hint="eastAsia" w:ascii="黑体" w:hAnsi="黑体" w:eastAsia="黑体" w:cs="黑体"/>
          <w:sz w:val="32"/>
          <w:szCs w:val="32"/>
          <w:lang w:eastAsia="zh-CN"/>
        </w:rPr>
        <w:t>已完成整改</w:t>
      </w:r>
    </w:p>
    <w:p>
      <w:pPr>
        <w:keepNext w:val="0"/>
        <w:keepLines w:val="0"/>
        <w:pageBreakBefore w:val="0"/>
        <w:widowControl w:val="0"/>
        <w:kinsoku/>
        <w:wordWrap/>
        <w:overflowPunct/>
        <w:topLinePunct w:val="0"/>
        <w:autoSpaceDE/>
        <w:autoSpaceDN/>
        <w:bidi w:val="0"/>
        <w:adjustRightInd/>
        <w:spacing w:line="600" w:lineRule="exact"/>
        <w:ind w:firstLine="640" w:firstLineChars="200"/>
        <w:jc w:val="both"/>
        <w:textAlignment w:val="auto"/>
        <w:rPr>
          <w:rFonts w:hint="eastAsia" w:ascii="仿宋_GB2312" w:hAnsi="Nimbus Roman No9 L" w:eastAsia="仿宋_GB2312" w:cs="Nimbus Roman No9 L"/>
          <w:sz w:val="32"/>
          <w:szCs w:val="32"/>
        </w:rPr>
      </w:pPr>
      <w:r>
        <w:rPr>
          <w:rFonts w:hint="eastAsia" w:ascii="仿宋_GB2312" w:hAnsi="Nimbus Roman No9 L" w:eastAsia="仿宋_GB2312" w:cs="Nimbus Roman No9 L"/>
          <w:sz w:val="32"/>
          <w:szCs w:val="32"/>
        </w:rPr>
        <w:t>（一）阿巴嘎旗金地矿业有限责任公司委托第三方机构编制完成闭库设计。</w:t>
      </w:r>
    </w:p>
    <w:p>
      <w:pPr>
        <w:keepNext w:val="0"/>
        <w:keepLines w:val="0"/>
        <w:pageBreakBefore w:val="0"/>
        <w:widowControl w:val="0"/>
        <w:kinsoku/>
        <w:wordWrap/>
        <w:overflowPunct/>
        <w:topLinePunct w:val="0"/>
        <w:autoSpaceDE/>
        <w:autoSpaceDN/>
        <w:bidi w:val="0"/>
        <w:adjustRightInd/>
        <w:spacing w:line="600" w:lineRule="exact"/>
        <w:ind w:firstLine="640" w:firstLineChars="200"/>
        <w:jc w:val="both"/>
        <w:textAlignment w:val="auto"/>
        <w:rPr>
          <w:rFonts w:hint="eastAsia" w:ascii="仿宋_GB2312" w:hAnsi="Nimbus Roman No9 L" w:eastAsia="仿宋_GB2312" w:cs="Nimbus Roman No9 L"/>
          <w:sz w:val="32"/>
          <w:szCs w:val="32"/>
        </w:rPr>
      </w:pPr>
      <w:r>
        <w:rPr>
          <w:rFonts w:hint="eastAsia" w:ascii="仿宋_GB2312" w:hAnsi="Nimbus Roman No9 L" w:eastAsia="仿宋_GB2312" w:cs="Nimbus Roman No9 L"/>
          <w:sz w:val="32"/>
          <w:szCs w:val="32"/>
        </w:rPr>
        <w:t>（二）</w:t>
      </w:r>
      <w:r>
        <w:rPr>
          <w:rFonts w:ascii="仿宋_GB2312" w:hAnsi="Nimbus Roman No9 L" w:eastAsia="仿宋_GB2312" w:cs="Nimbus Roman No9 L"/>
          <w:sz w:val="32"/>
          <w:szCs w:val="32"/>
        </w:rPr>
        <w:t>2023</w:t>
      </w:r>
      <w:r>
        <w:rPr>
          <w:rFonts w:hint="eastAsia" w:ascii="仿宋_GB2312" w:hAnsi="Nimbus Roman No9 L" w:eastAsia="仿宋_GB2312" w:cs="Nimbus Roman No9 L"/>
          <w:sz w:val="32"/>
          <w:szCs w:val="32"/>
        </w:rPr>
        <w:t>年5月闭库工程已完成并验收。企业制定了复垦绿化工作方案，完成植被恢复</w:t>
      </w:r>
      <w:r>
        <w:rPr>
          <w:rFonts w:hint="eastAsia" w:ascii="仿宋_GB2312" w:hAnsi="Nimbus Roman No9 L" w:eastAsia="仿宋_GB2312" w:cs="Nimbus Roman No9 L"/>
          <w:sz w:val="32"/>
          <w:szCs w:val="32"/>
          <w:lang w:eastAsia="zh-CN"/>
        </w:rPr>
        <w:t>并通过</w:t>
      </w:r>
      <w:r>
        <w:rPr>
          <w:rFonts w:hint="eastAsia" w:ascii="仿宋_GB2312" w:hAnsi="Nimbus Roman No9 L" w:eastAsia="仿宋_GB2312" w:cs="Nimbus Roman No9 L"/>
          <w:sz w:val="32"/>
          <w:szCs w:val="32"/>
        </w:rPr>
        <w:t>验收。</w:t>
      </w:r>
    </w:p>
    <w:p>
      <w:pPr>
        <w:pStyle w:val="2"/>
        <w:keepNext w:val="0"/>
        <w:keepLines w:val="0"/>
        <w:pageBreakBefore w:val="0"/>
        <w:widowControl w:val="0"/>
        <w:kinsoku/>
        <w:wordWrap/>
        <w:overflowPunct/>
        <w:topLinePunct w:val="0"/>
        <w:autoSpaceDE/>
        <w:autoSpaceDN/>
        <w:bidi w:val="0"/>
        <w:adjustRightInd/>
        <w:spacing w:after="0" w:line="600" w:lineRule="exact"/>
        <w:ind w:left="0" w:leftChars="0" w:firstLine="640" w:firstLineChars="200"/>
        <w:jc w:val="both"/>
        <w:textAlignment w:val="auto"/>
        <w:rPr>
          <w:rFonts w:hint="default" w:ascii="黑体" w:hAnsi="黑体" w:eastAsia="黑体" w:cs="黑体"/>
          <w:b w:val="0"/>
          <w:bCs w:val="0"/>
          <w:color w:val="auto"/>
          <w:sz w:val="32"/>
          <w:szCs w:val="32"/>
          <w:lang w:val="en-US" w:eastAsia="zh-CN"/>
        </w:rPr>
      </w:pPr>
      <w:r>
        <w:rPr>
          <w:rFonts w:hint="eastAsia" w:ascii="仿宋_GB2312" w:hAnsi="Nimbus Roman No9 L" w:eastAsia="仿宋_GB2312" w:cs="Nimbus Roman No9 L"/>
          <w:sz w:val="32"/>
          <w:szCs w:val="32"/>
        </w:rPr>
        <w:t>（三）企业按季度开展监测，持续跟踪监控尾矿堆存区域周边环境。</w:t>
      </w:r>
    </w:p>
    <w:p>
      <w:pPr>
        <w:pStyle w:val="4"/>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楷体_GB2312" w:hAnsi="黑体" w:eastAsia="楷体_GB2312" w:cs="黑体"/>
          <w:w w:val="105"/>
          <w:sz w:val="32"/>
          <w:szCs w:val="32"/>
        </w:rPr>
      </w:pPr>
      <w:r>
        <w:rPr>
          <w:rFonts w:hint="eastAsia" w:ascii="楷体_GB2312" w:hAnsi="楷体_GB2312" w:eastAsia="楷体_GB2312" w:cs="楷体_GB2312"/>
          <w:b w:val="0"/>
          <w:bCs w:val="0"/>
          <w:color w:val="auto"/>
          <w:sz w:val="32"/>
          <w:szCs w:val="32"/>
          <w:lang w:val="en-US" w:eastAsia="zh-CN"/>
        </w:rPr>
        <w:t>12.</w:t>
      </w:r>
      <w:r>
        <w:rPr>
          <w:rFonts w:hint="eastAsia" w:ascii="楷体_GB2312" w:hAnsi="黑体" w:eastAsia="楷体_GB2312" w:cs="黑体"/>
          <w:w w:val="105"/>
          <w:sz w:val="32"/>
          <w:szCs w:val="32"/>
        </w:rPr>
        <w:t>农膜回收利用率偏低。据统计，自治区耕地面积1.72亿亩，2021年全区地膜覆盖面积2718万亩，地膜使用量9.44万吨，其中巴彦淖尔、赤峰、乌兰察布、呼和浩特等4个地市覆膜面积占全区82%。根据巴彦淖尔市2021年农业面源普查数据显示，全市地膜使用量为2.84万吨，回收量为1.49万吨，回收率仅为52.6%。乌兰察布市2021年地膜使用量为1.16万吨，回收至残膜加工企业处理的仅0.27万吨，利用率只有23.3%，现场督察发现，大部分残膜尚处于无序管理状态，耕地中残留大量细碎地膜。</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default" w:ascii="黑体" w:hAnsi="黑体" w:eastAsia="黑体" w:cs="黑体"/>
          <w:b w:val="0"/>
          <w:bCs w:val="0"/>
          <w:color w:val="auto"/>
          <w:sz w:val="32"/>
          <w:szCs w:val="32"/>
          <w:lang w:val="en-US" w:eastAsia="zh-CN"/>
        </w:rPr>
      </w:pPr>
      <w:r>
        <w:rPr>
          <w:rFonts w:hint="eastAsia" w:ascii="黑体" w:hAnsi="黑体" w:eastAsia="黑体" w:cs="黑体"/>
          <w:sz w:val="32"/>
          <w:szCs w:val="32"/>
        </w:rPr>
        <w:t>整改进展情况：</w:t>
      </w:r>
      <w:r>
        <w:rPr>
          <w:rFonts w:hint="eastAsia" w:ascii="黑体" w:hAnsi="黑体" w:eastAsia="黑体" w:cs="黑体"/>
          <w:color w:val="auto"/>
          <w:sz w:val="32"/>
          <w:szCs w:val="32"/>
        </w:rPr>
        <w:t>已完成整改</w:t>
      </w:r>
    </w:p>
    <w:p>
      <w:pPr>
        <w:pStyle w:val="2"/>
        <w:keepNext w:val="0"/>
        <w:keepLines w:val="0"/>
        <w:pageBreakBefore w:val="0"/>
        <w:widowControl w:val="0"/>
        <w:kinsoku/>
        <w:wordWrap/>
        <w:overflowPunct/>
        <w:topLinePunct w:val="0"/>
        <w:autoSpaceDE/>
        <w:autoSpaceDN/>
        <w:bidi w:val="0"/>
        <w:adjustRightInd/>
        <w:snapToGrid/>
        <w:spacing w:after="0"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（一）制定印发《农田废旧地膜回收处理行动工作方案》，督促指导各用膜旗县把握好春播前重要时间节点，及时开展政策宣传和技术指导，完成当季地膜回收。</w:t>
      </w:r>
    </w:p>
    <w:p>
      <w:pPr>
        <w:pStyle w:val="2"/>
        <w:keepNext w:val="0"/>
        <w:keepLines w:val="0"/>
        <w:pageBreakBefore w:val="0"/>
        <w:widowControl w:val="0"/>
        <w:kinsoku/>
        <w:wordWrap/>
        <w:overflowPunct/>
        <w:topLinePunct w:val="0"/>
        <w:autoSpaceDE/>
        <w:autoSpaceDN/>
        <w:bidi w:val="0"/>
        <w:adjustRightInd/>
        <w:snapToGrid/>
        <w:spacing w:after="0"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加强农膜源头监管，结合春季农资打假等行动，在覆膜旗县开展秋季地膜回收专项行动，强化对地膜生产、销售和使用环节的监管和指导工作，对无再利用价值的残膜，结合农村人居环境整治进行无害化处理。</w:t>
      </w:r>
    </w:p>
    <w:p>
      <w:pPr>
        <w:pStyle w:val="2"/>
        <w:keepNext w:val="0"/>
        <w:keepLines w:val="0"/>
        <w:pageBreakBefore w:val="0"/>
        <w:widowControl w:val="0"/>
        <w:kinsoku/>
        <w:wordWrap/>
        <w:overflowPunct/>
        <w:topLinePunct w:val="0"/>
        <w:autoSpaceDE/>
        <w:autoSpaceDN/>
        <w:bidi w:val="0"/>
        <w:adjustRightInd/>
        <w:snapToGrid/>
        <w:spacing w:after="0" w:line="600" w:lineRule="exact"/>
        <w:ind w:left="0" w:leftChars="0" w:firstLine="640" w:firstLineChars="200"/>
        <w:jc w:val="both"/>
        <w:textAlignment w:val="auto"/>
        <w:rPr>
          <w:color w:val="auto"/>
        </w:rPr>
      </w:pPr>
      <w:r>
        <w:rPr>
          <w:rFonts w:hint="eastAsia" w:ascii="仿宋_GB2312" w:hAnsi="仿宋_GB2312" w:eastAsia="仿宋_GB2312" w:cs="仿宋_GB2312"/>
          <w:sz w:val="32"/>
          <w:szCs w:val="32"/>
          <w:lang w:val="en-US" w:eastAsia="zh-CN"/>
        </w:rPr>
        <w:t>（三）完成地膜科学使用回收试点任务，其中加厚高强度地膜面积5万亩，全生物可降解地膜5万亩。</w:t>
      </w: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EFF" w:usb1="C000785B" w:usb2="00000009" w:usb3="00000000" w:csb0="400001FF" w:csb1="FFFF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 w:name="Nimbus Roman No9 L">
    <w:altName w:val="Times New Roman"/>
    <w:panose1 w:val="00000000000000000000"/>
    <w:charset w:val="00"/>
    <w:family w:val="auto"/>
    <w:pitch w:val="default"/>
    <w:sig w:usb0="00000000" w:usb1="00000000" w:usb2="00000000" w:usb3="00000000" w:csb0="00040001" w:csb1="00000000"/>
  </w:font>
  <w:font w:name="方正仿宋简体">
    <w:altName w:val="方正仿宋_GBK"/>
    <w:panose1 w:val="00000000000000000000"/>
    <w:charset w:val="00"/>
    <w:family w:val="auto"/>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方正楷体简体">
    <w:altName w:val="宋体"/>
    <w:panose1 w:val="02010601030101010101"/>
    <w:charset w:val="00"/>
    <w:family w:val="auto"/>
    <w:pitch w:val="default"/>
    <w:sig w:usb0="00000000" w:usb1="0000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r>
                            <w:rPr>
                              <w:rFonts w:hint="eastAsia" w:ascii="仿宋_GB2312" w:hAnsi="仿宋_GB2312" w:eastAsia="仿宋_GB2312" w:cs="仿宋_GB2312"/>
                              <w:sz w:val="24"/>
                              <w:szCs w:val="24"/>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">
              <v:fill on="f" focussize="0,0"/>
              <v:stroke on="f" weight="0.5pt"/>
              <v:imagedata o:title=""/>
              <o:lock v:ext="edit" aspectratio="f"/>
              <v:textbox inset="0mm,0mm,0mm,0mm" style="mso-fit-shape-to-text:t;">
                <w:txbxContent>
                  <w:p>
                    <w:pPr>
                      <w:pStyle w:val="6"/>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r>
                      <w:rPr>
                        <w:rFonts w:hint="eastAsia" w:ascii="仿宋_GB2312" w:hAnsi="仿宋_GB2312" w:eastAsia="仿宋_GB2312" w:cs="仿宋_GB2312"/>
                        <w:sz w:val="24"/>
                        <w:szCs w:val="24"/>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CEF70CCA"/>
    <w:rsid w:val="06EAF0FD"/>
    <w:rsid w:val="0DFDBF6F"/>
    <w:rsid w:val="0ED2FAD3"/>
    <w:rsid w:val="14F65ED2"/>
    <w:rsid w:val="23BF5DF8"/>
    <w:rsid w:val="268FEE35"/>
    <w:rsid w:val="2BF59F89"/>
    <w:rsid w:val="2D7BA10E"/>
    <w:rsid w:val="2EEC070F"/>
    <w:rsid w:val="2EFECF0B"/>
    <w:rsid w:val="2EFF8F3E"/>
    <w:rsid w:val="32FC20F6"/>
    <w:rsid w:val="33FF9598"/>
    <w:rsid w:val="35DF3276"/>
    <w:rsid w:val="37FAE9C8"/>
    <w:rsid w:val="38DE25D0"/>
    <w:rsid w:val="3ABE33E8"/>
    <w:rsid w:val="3ABFBAE9"/>
    <w:rsid w:val="3ADC7EBB"/>
    <w:rsid w:val="3BAF1070"/>
    <w:rsid w:val="3BD739B2"/>
    <w:rsid w:val="3BF1A747"/>
    <w:rsid w:val="3BFF9681"/>
    <w:rsid w:val="3C51533E"/>
    <w:rsid w:val="3D3D63AC"/>
    <w:rsid w:val="3E6F22EE"/>
    <w:rsid w:val="3EE11EB8"/>
    <w:rsid w:val="3EEE4859"/>
    <w:rsid w:val="3EF7E01C"/>
    <w:rsid w:val="3EFF2108"/>
    <w:rsid w:val="3F2718A9"/>
    <w:rsid w:val="3F36070B"/>
    <w:rsid w:val="3F757640"/>
    <w:rsid w:val="3F7DF5C8"/>
    <w:rsid w:val="3FBE5C6C"/>
    <w:rsid w:val="3FD8FC80"/>
    <w:rsid w:val="3FD9CE59"/>
    <w:rsid w:val="3FDB17B4"/>
    <w:rsid w:val="3FEF2468"/>
    <w:rsid w:val="3FF35C97"/>
    <w:rsid w:val="42FF6E26"/>
    <w:rsid w:val="46B3E54C"/>
    <w:rsid w:val="46EC8BDD"/>
    <w:rsid w:val="47DFDDE7"/>
    <w:rsid w:val="4A5B127A"/>
    <w:rsid w:val="4AAFBEF6"/>
    <w:rsid w:val="4C9B8079"/>
    <w:rsid w:val="4F7E83D9"/>
    <w:rsid w:val="4F7FB3A5"/>
    <w:rsid w:val="534F068F"/>
    <w:rsid w:val="53EA1B04"/>
    <w:rsid w:val="567ABDCE"/>
    <w:rsid w:val="575F4B87"/>
    <w:rsid w:val="57DF08A8"/>
    <w:rsid w:val="58FDBD3F"/>
    <w:rsid w:val="596E4612"/>
    <w:rsid w:val="59B769A3"/>
    <w:rsid w:val="5ABB7263"/>
    <w:rsid w:val="5BF182F5"/>
    <w:rsid w:val="5D9762EE"/>
    <w:rsid w:val="5DA75A37"/>
    <w:rsid w:val="5E4EDDD9"/>
    <w:rsid w:val="5E774E0F"/>
    <w:rsid w:val="5E9475D6"/>
    <w:rsid w:val="5EFE76D6"/>
    <w:rsid w:val="5F5BE4C0"/>
    <w:rsid w:val="5F9FE827"/>
    <w:rsid w:val="5FB6F3DF"/>
    <w:rsid w:val="5FBD562D"/>
    <w:rsid w:val="5FEF18BB"/>
    <w:rsid w:val="5FFA9C4E"/>
    <w:rsid w:val="5FFC2B0C"/>
    <w:rsid w:val="5FFD4B13"/>
    <w:rsid w:val="5FFE4C57"/>
    <w:rsid w:val="5FFFC556"/>
    <w:rsid w:val="63B7125A"/>
    <w:rsid w:val="63EB3CD1"/>
    <w:rsid w:val="67DC8F0C"/>
    <w:rsid w:val="67E37E65"/>
    <w:rsid w:val="6AFD84AF"/>
    <w:rsid w:val="6B72BE1E"/>
    <w:rsid w:val="6BDE592B"/>
    <w:rsid w:val="6BDFCBE2"/>
    <w:rsid w:val="6BECEEC8"/>
    <w:rsid w:val="6BFF150A"/>
    <w:rsid w:val="6CBBA60A"/>
    <w:rsid w:val="6DFE3E46"/>
    <w:rsid w:val="6F77B891"/>
    <w:rsid w:val="6FDCAF27"/>
    <w:rsid w:val="6FE74063"/>
    <w:rsid w:val="6FFBEFFE"/>
    <w:rsid w:val="71EE32DA"/>
    <w:rsid w:val="71EFD312"/>
    <w:rsid w:val="737C81E3"/>
    <w:rsid w:val="739B81E9"/>
    <w:rsid w:val="73FEA6C0"/>
    <w:rsid w:val="7477539A"/>
    <w:rsid w:val="7538FFE4"/>
    <w:rsid w:val="755FECD1"/>
    <w:rsid w:val="7577E17C"/>
    <w:rsid w:val="75CF8B83"/>
    <w:rsid w:val="75EF53D6"/>
    <w:rsid w:val="75FBFE38"/>
    <w:rsid w:val="75FE0E4F"/>
    <w:rsid w:val="7697C05F"/>
    <w:rsid w:val="76E78D80"/>
    <w:rsid w:val="77397163"/>
    <w:rsid w:val="774B89E5"/>
    <w:rsid w:val="775BEC60"/>
    <w:rsid w:val="777E5CCD"/>
    <w:rsid w:val="777EF06C"/>
    <w:rsid w:val="77B33160"/>
    <w:rsid w:val="77BF7C6F"/>
    <w:rsid w:val="77CE8B54"/>
    <w:rsid w:val="77DD1D61"/>
    <w:rsid w:val="77EA298A"/>
    <w:rsid w:val="77F7DF5A"/>
    <w:rsid w:val="77FBE5DF"/>
    <w:rsid w:val="77FE0B36"/>
    <w:rsid w:val="77FEA11B"/>
    <w:rsid w:val="77FEA60B"/>
    <w:rsid w:val="77FF2468"/>
    <w:rsid w:val="77FF9FAB"/>
    <w:rsid w:val="77FFAA69"/>
    <w:rsid w:val="77FFCDAC"/>
    <w:rsid w:val="796E376C"/>
    <w:rsid w:val="7A7F81F8"/>
    <w:rsid w:val="7A9E23E9"/>
    <w:rsid w:val="7AB3DDD1"/>
    <w:rsid w:val="7ABB3675"/>
    <w:rsid w:val="7AFF8C91"/>
    <w:rsid w:val="7B6D5685"/>
    <w:rsid w:val="7B78C223"/>
    <w:rsid w:val="7BB02E6B"/>
    <w:rsid w:val="7BBD98C1"/>
    <w:rsid w:val="7BBFC3C9"/>
    <w:rsid w:val="7BD5C5F5"/>
    <w:rsid w:val="7BFD1774"/>
    <w:rsid w:val="7BFE2C85"/>
    <w:rsid w:val="7C0FFC2B"/>
    <w:rsid w:val="7CE74487"/>
    <w:rsid w:val="7CFD1E0E"/>
    <w:rsid w:val="7CFE2B34"/>
    <w:rsid w:val="7DBF10EE"/>
    <w:rsid w:val="7DEDD36F"/>
    <w:rsid w:val="7DFB91B7"/>
    <w:rsid w:val="7DFF98B4"/>
    <w:rsid w:val="7E3DA016"/>
    <w:rsid w:val="7E5D4C97"/>
    <w:rsid w:val="7E8FE7CC"/>
    <w:rsid w:val="7E9EC233"/>
    <w:rsid w:val="7EBFA25E"/>
    <w:rsid w:val="7EC59256"/>
    <w:rsid w:val="7EDF862F"/>
    <w:rsid w:val="7EDFF211"/>
    <w:rsid w:val="7EEF6490"/>
    <w:rsid w:val="7EF5BA5D"/>
    <w:rsid w:val="7EF64F5F"/>
    <w:rsid w:val="7EFE197A"/>
    <w:rsid w:val="7F1F085C"/>
    <w:rsid w:val="7F1FE05F"/>
    <w:rsid w:val="7F2FD74C"/>
    <w:rsid w:val="7F77E318"/>
    <w:rsid w:val="7F8F3173"/>
    <w:rsid w:val="7FAF369B"/>
    <w:rsid w:val="7FB554AC"/>
    <w:rsid w:val="7FC46AC2"/>
    <w:rsid w:val="7FC7188A"/>
    <w:rsid w:val="7FCFE8E9"/>
    <w:rsid w:val="7FDF1C5C"/>
    <w:rsid w:val="7FE79E7C"/>
    <w:rsid w:val="7FEF234E"/>
    <w:rsid w:val="7FEF7AC4"/>
    <w:rsid w:val="7FFA8CC8"/>
    <w:rsid w:val="7FFB51F4"/>
    <w:rsid w:val="7FFD864D"/>
    <w:rsid w:val="7FFE366F"/>
    <w:rsid w:val="7FFE873C"/>
    <w:rsid w:val="7FFEFA34"/>
    <w:rsid w:val="7FFF36D4"/>
    <w:rsid w:val="7FFFD8A1"/>
    <w:rsid w:val="87FD2CD5"/>
    <w:rsid w:val="8EB33091"/>
    <w:rsid w:val="8FA7F804"/>
    <w:rsid w:val="8FAD04CC"/>
    <w:rsid w:val="8FEED0AB"/>
    <w:rsid w:val="91DBB19B"/>
    <w:rsid w:val="96B6A6E4"/>
    <w:rsid w:val="978F30C2"/>
    <w:rsid w:val="97DF0735"/>
    <w:rsid w:val="97E3A87E"/>
    <w:rsid w:val="989F02E8"/>
    <w:rsid w:val="9BBAB409"/>
    <w:rsid w:val="9DED5FF8"/>
    <w:rsid w:val="9EDF786A"/>
    <w:rsid w:val="9F94BC3A"/>
    <w:rsid w:val="9FF882DF"/>
    <w:rsid w:val="9FFFE380"/>
    <w:rsid w:val="A1F5E46D"/>
    <w:rsid w:val="A3DFC843"/>
    <w:rsid w:val="A73FD5E4"/>
    <w:rsid w:val="AEFEC212"/>
    <w:rsid w:val="AF69EA28"/>
    <w:rsid w:val="AFCD0965"/>
    <w:rsid w:val="B25B7FFA"/>
    <w:rsid w:val="B2BF44E0"/>
    <w:rsid w:val="B3FFBAA4"/>
    <w:rsid w:val="B5F4E76B"/>
    <w:rsid w:val="B5F5C138"/>
    <w:rsid w:val="B5F7EEF6"/>
    <w:rsid w:val="B7365D12"/>
    <w:rsid w:val="B75DAD13"/>
    <w:rsid w:val="B77A16BF"/>
    <w:rsid w:val="B7B9682C"/>
    <w:rsid w:val="B7CF95A4"/>
    <w:rsid w:val="B8D60E8F"/>
    <w:rsid w:val="B99FC327"/>
    <w:rsid w:val="B9FA413D"/>
    <w:rsid w:val="BA7B8FDB"/>
    <w:rsid w:val="BB6F72FD"/>
    <w:rsid w:val="BDF1095C"/>
    <w:rsid w:val="BDFB9395"/>
    <w:rsid w:val="BDFF9087"/>
    <w:rsid w:val="BE7B2549"/>
    <w:rsid w:val="BE991C67"/>
    <w:rsid w:val="BECE9F32"/>
    <w:rsid w:val="BEEF597A"/>
    <w:rsid w:val="BEFF7747"/>
    <w:rsid w:val="BEFFA9E4"/>
    <w:rsid w:val="BF5EF09C"/>
    <w:rsid w:val="BF6D6C6D"/>
    <w:rsid w:val="BF7331C6"/>
    <w:rsid w:val="BF7C5570"/>
    <w:rsid w:val="BF7C5DC4"/>
    <w:rsid w:val="BF7FA100"/>
    <w:rsid w:val="BF975C42"/>
    <w:rsid w:val="BFA9A9E6"/>
    <w:rsid w:val="BFBF37D0"/>
    <w:rsid w:val="BFDF58F8"/>
    <w:rsid w:val="BFEC522B"/>
    <w:rsid w:val="BFFBFE5C"/>
    <w:rsid w:val="BFFECB07"/>
    <w:rsid w:val="BFFF6F90"/>
    <w:rsid w:val="BFFFFAAD"/>
    <w:rsid w:val="C7EBCEA6"/>
    <w:rsid w:val="CCFB3C4D"/>
    <w:rsid w:val="CDE3ACEE"/>
    <w:rsid w:val="CDFE1371"/>
    <w:rsid w:val="CE6A4C2A"/>
    <w:rsid w:val="CE9FD2FC"/>
    <w:rsid w:val="CEF70CCA"/>
    <w:rsid w:val="CFD38F37"/>
    <w:rsid w:val="CFDBD62B"/>
    <w:rsid w:val="CFFE22C6"/>
    <w:rsid w:val="D2FE7590"/>
    <w:rsid w:val="D6F3E3C7"/>
    <w:rsid w:val="D7EBC633"/>
    <w:rsid w:val="D9FE577A"/>
    <w:rsid w:val="DAF7F090"/>
    <w:rsid w:val="DB9FBB24"/>
    <w:rsid w:val="DBCF1F7F"/>
    <w:rsid w:val="DCFF3336"/>
    <w:rsid w:val="DDFF2A58"/>
    <w:rsid w:val="DEDE0434"/>
    <w:rsid w:val="DEFB4F20"/>
    <w:rsid w:val="DF6B2A9E"/>
    <w:rsid w:val="DF6FA22F"/>
    <w:rsid w:val="DF8B868E"/>
    <w:rsid w:val="DFBF39E0"/>
    <w:rsid w:val="DFD5E091"/>
    <w:rsid w:val="DFDF157D"/>
    <w:rsid w:val="DFDF3310"/>
    <w:rsid w:val="DFEFB8F2"/>
    <w:rsid w:val="DFF32039"/>
    <w:rsid w:val="DFF36619"/>
    <w:rsid w:val="E5DBFFCC"/>
    <w:rsid w:val="E7F638C2"/>
    <w:rsid w:val="E7FD4165"/>
    <w:rsid w:val="E9D2E180"/>
    <w:rsid w:val="EA562B5E"/>
    <w:rsid w:val="EAFE95D9"/>
    <w:rsid w:val="EBBD37E2"/>
    <w:rsid w:val="EBEF3C60"/>
    <w:rsid w:val="EBFB1CB5"/>
    <w:rsid w:val="EBFC3792"/>
    <w:rsid w:val="EBFD021D"/>
    <w:rsid w:val="ED3796D2"/>
    <w:rsid w:val="EDEFAC99"/>
    <w:rsid w:val="EDFFF3F6"/>
    <w:rsid w:val="EEB839B4"/>
    <w:rsid w:val="EEF71BFB"/>
    <w:rsid w:val="EEFF191D"/>
    <w:rsid w:val="EF3F4A0B"/>
    <w:rsid w:val="EFAEC3E4"/>
    <w:rsid w:val="EFB7AD0C"/>
    <w:rsid w:val="EFBF055B"/>
    <w:rsid w:val="EFBFCAE9"/>
    <w:rsid w:val="EFCE9F7A"/>
    <w:rsid w:val="EFCF594F"/>
    <w:rsid w:val="EFF74A3E"/>
    <w:rsid w:val="EFF9036A"/>
    <w:rsid w:val="EFFFCA99"/>
    <w:rsid w:val="F1FB9B0A"/>
    <w:rsid w:val="F37F9988"/>
    <w:rsid w:val="F387E4A2"/>
    <w:rsid w:val="F3EB8D3B"/>
    <w:rsid w:val="F3FA015E"/>
    <w:rsid w:val="F3FFCCBD"/>
    <w:rsid w:val="F438FA77"/>
    <w:rsid w:val="F4BF1C7A"/>
    <w:rsid w:val="F55C98A8"/>
    <w:rsid w:val="F5D7E299"/>
    <w:rsid w:val="F6DF2061"/>
    <w:rsid w:val="F6F55011"/>
    <w:rsid w:val="F6F9D423"/>
    <w:rsid w:val="F76F8323"/>
    <w:rsid w:val="F79F9031"/>
    <w:rsid w:val="F7BF2214"/>
    <w:rsid w:val="F7D73B23"/>
    <w:rsid w:val="F7DFF0DB"/>
    <w:rsid w:val="F7EAA4B5"/>
    <w:rsid w:val="F7EB1E68"/>
    <w:rsid w:val="F7F37398"/>
    <w:rsid w:val="F7FE4173"/>
    <w:rsid w:val="F7FEEEA4"/>
    <w:rsid w:val="F8334159"/>
    <w:rsid w:val="F9B21F12"/>
    <w:rsid w:val="F9FBCA46"/>
    <w:rsid w:val="FA2FAB0D"/>
    <w:rsid w:val="FA679BB7"/>
    <w:rsid w:val="FA9FA5BE"/>
    <w:rsid w:val="FAD64B23"/>
    <w:rsid w:val="FB073E81"/>
    <w:rsid w:val="FB5D21DA"/>
    <w:rsid w:val="FB5FA5AC"/>
    <w:rsid w:val="FBFD2D1D"/>
    <w:rsid w:val="FBFF2FF0"/>
    <w:rsid w:val="FBFFF61A"/>
    <w:rsid w:val="FC1FF3F0"/>
    <w:rsid w:val="FC6B8659"/>
    <w:rsid w:val="FC7FB6A5"/>
    <w:rsid w:val="FCACDC87"/>
    <w:rsid w:val="FCECC5AE"/>
    <w:rsid w:val="FD6698E2"/>
    <w:rsid w:val="FD75A75B"/>
    <w:rsid w:val="FDCFD814"/>
    <w:rsid w:val="FDEF9A5E"/>
    <w:rsid w:val="FDFB7877"/>
    <w:rsid w:val="FE7A79B9"/>
    <w:rsid w:val="FEAA7B63"/>
    <w:rsid w:val="FEF772E2"/>
    <w:rsid w:val="FEF8D306"/>
    <w:rsid w:val="FEFF35EA"/>
    <w:rsid w:val="FEFF9ABC"/>
    <w:rsid w:val="FF5A7A58"/>
    <w:rsid w:val="FF7F33FA"/>
    <w:rsid w:val="FF9BCEA7"/>
    <w:rsid w:val="FF9FD179"/>
    <w:rsid w:val="FFA7C2F8"/>
    <w:rsid w:val="FFA91C65"/>
    <w:rsid w:val="FFB7D57B"/>
    <w:rsid w:val="FFBF5C1D"/>
    <w:rsid w:val="FFBF8E65"/>
    <w:rsid w:val="FFDC7D98"/>
    <w:rsid w:val="FFDF00A3"/>
    <w:rsid w:val="FFDFD90D"/>
    <w:rsid w:val="FFF839F9"/>
    <w:rsid w:val="FFFA1111"/>
    <w:rsid w:val="FFFBB485"/>
    <w:rsid w:val="FFFBD8E9"/>
    <w:rsid w:val="FFFCCB44"/>
    <w:rsid w:val="FFFD98AB"/>
    <w:rsid w:val="FFFE62ED"/>
    <w:rsid w:val="FFFF576A"/>
    <w:rsid w:val="FFFF7741"/>
    <w:rsid w:val="FFFFE8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qFormat="1" w:unhideWhenUsed="0" w:uiPriority="99" w:semiHidden="0" w:name="index 8"/>
    <w:lsdException w:unhideWhenUsed="0" w:uiPriority="0" w:semiHidden="0" w:name="index 9"/>
    <w:lsdException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2">
    <w:name w:val="Body Text First Indent"/>
    <w:basedOn w:val="3"/>
    <w:next w:val="1"/>
    <w:qFormat/>
    <w:uiPriority w:val="0"/>
    <w:pPr>
      <w:ind w:firstLine="420" w:firstLineChars="100"/>
    </w:pPr>
  </w:style>
  <w:style w:type="paragraph" w:styleId="3">
    <w:name w:val="Body Text"/>
    <w:basedOn w:val="1"/>
    <w:next w:val="4"/>
    <w:unhideWhenUsed/>
    <w:qFormat/>
    <w:uiPriority w:val="1"/>
    <w:pPr>
      <w:spacing w:after="120"/>
    </w:pPr>
    <w:rPr>
      <w:rFonts w:ascii="Times New Roman" w:hAnsi="Times New Roman" w:eastAsia="宋体" w:cs="Times New Roman"/>
      <w:szCs w:val="21"/>
    </w:rPr>
  </w:style>
  <w:style w:type="paragraph" w:styleId="4">
    <w:name w:val="Normal (Web)"/>
    <w:basedOn w:val="1"/>
    <w:next w:val="2"/>
    <w:qFormat/>
    <w:uiPriority w:val="99"/>
    <w:rPr>
      <w:sz w:val="24"/>
    </w:rPr>
  </w:style>
  <w:style w:type="paragraph" w:styleId="5">
    <w:name w:val="Normal Indent"/>
    <w:basedOn w:val="1"/>
    <w:unhideWhenUsed/>
    <w:qFormat/>
    <w:uiPriority w:val="99"/>
    <w:pPr>
      <w:widowControl w:val="0"/>
      <w:ind w:firstLine="420" w:firstLineChars="200"/>
      <w:jc w:val="both"/>
    </w:pPr>
    <w:rPr>
      <w:rFonts w:ascii="Calibri" w:hAnsi="Calibri" w:eastAsia="宋体" w:cs="宋体"/>
      <w:kern w:val="2"/>
      <w:sz w:val="21"/>
      <w:szCs w:val="22"/>
      <w:lang w:val="en-US" w:eastAsia="zh-CN" w:bidi="ar-SA"/>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toc 2"/>
    <w:basedOn w:val="1"/>
    <w:next w:val="1"/>
    <w:qFormat/>
    <w:uiPriority w:val="0"/>
    <w:pPr>
      <w:ind w:left="210"/>
      <w:jc w:val="left"/>
    </w:pPr>
    <w:rPr>
      <w:smallCaps/>
      <w:sz w:val="20"/>
      <w:szCs w:val="20"/>
    </w:rPr>
  </w:style>
  <w:style w:type="character" w:styleId="11">
    <w:name w:val="Strong"/>
    <w:basedOn w:val="10"/>
    <w:qFormat/>
    <w:uiPriority w:val="0"/>
    <w:rPr>
      <w:b/>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9</TotalTime>
  <ScaleCrop>false</ScaleCrop>
  <LinksUpToDate>false</LinksUpToDate>
  <CharactersWithSpaces>0</CharactersWithSpaces>
  <Application>WPS Office_11.8.2.11653_F1E327BC-269C-435d-A152-05C5408002CA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2023-03-02T01:16:00Z</dcterms:created>
  <dc:creator>inspur</dc:creator>
  <cp:lastModifiedBy>inspur</cp:lastModifiedBy>
  <cp:lastPrinted>2023-12-31T18:24:00Z</cp:lastPrinted>
  <dcterms:modified xsi:type="dcterms:W3CDTF">2025-12-24T12:24:28Z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2052-11.8.2.11653</vt:lpwstr>
  </property>
  <property fmtid="{D5CDD505-2E9C-101B-9397-08002B2CF9AE}" pid="3" name="ICV">
    <vt:lpwstr>E919F30210C2939EC615F763EC2CC7C7</vt:lpwstr>
  </property>
</Properties>
</file>