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6FFF2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jc w:val="center"/>
        <w:textAlignment w:val="auto"/>
        <w:outlineLvl w:val="9"/>
        <w:rPr>
          <w:rFonts w:hint="eastAsia" w:ascii="方正小标宋简体" w:hAnsi="方正小标宋简体" w:eastAsia="方正小标宋简体" w:cs="方正小标宋简体"/>
          <w:b/>
          <w:bCs/>
          <w:color w:val="auto"/>
          <w:sz w:val="44"/>
          <w:szCs w:val="44"/>
          <w:u w:val="none" w:color="auto"/>
          <w:shd w:val="clear" w:color="auto" w:fill="FFFFFF"/>
        </w:rPr>
      </w:pPr>
      <w:r>
        <w:rPr>
          <w:rFonts w:hint="eastAsia" w:ascii="方正小标宋简体" w:hAnsi="方正小标宋简体" w:eastAsia="方正小标宋简体" w:cs="方正小标宋简体"/>
          <w:b/>
          <w:bCs/>
          <w:color w:val="auto"/>
          <w:sz w:val="44"/>
          <w:szCs w:val="44"/>
          <w:u w:val="none" w:color="auto"/>
          <w:lang w:eastAsia="zh-CN"/>
        </w:rPr>
        <w:t>锡林郭勒盟贯彻落实第二轮</w:t>
      </w:r>
      <w:r>
        <w:rPr>
          <w:rFonts w:hint="eastAsia" w:ascii="方正小标宋简体" w:hAnsi="方正小标宋简体" w:eastAsia="方正小标宋简体" w:cs="方正小标宋简体"/>
          <w:b/>
          <w:bCs/>
          <w:color w:val="auto"/>
          <w:sz w:val="44"/>
          <w:szCs w:val="44"/>
          <w:u w:val="none" w:color="auto"/>
          <w:shd w:val="clear" w:color="auto" w:fill="FFFFFF"/>
        </w:rPr>
        <w:t>自治区生态</w:t>
      </w:r>
    </w:p>
    <w:p w14:paraId="51F28BB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jc w:val="center"/>
        <w:textAlignment w:val="auto"/>
        <w:outlineLvl w:val="9"/>
        <w:rPr>
          <w:rFonts w:hint="eastAsia" w:ascii="仿宋_GB2312" w:hAnsi="Times New Roman" w:eastAsia="仿宋_GB2312"/>
          <w:b/>
          <w:bCs/>
          <w:color w:val="auto"/>
          <w:sz w:val="32"/>
          <w:szCs w:val="32"/>
          <w:highlight w:val="none"/>
          <w:u w:val="none" w:color="auto"/>
          <w:lang w:val="en-US" w:eastAsia="zh-CN"/>
        </w:rPr>
      </w:pPr>
      <w:r>
        <w:rPr>
          <w:rFonts w:hint="eastAsia" w:ascii="方正小标宋简体" w:hAnsi="方正小标宋简体" w:eastAsia="方正小标宋简体" w:cs="方正小标宋简体"/>
          <w:b/>
          <w:bCs/>
          <w:color w:val="auto"/>
          <w:sz w:val="44"/>
          <w:szCs w:val="44"/>
          <w:u w:val="none" w:color="auto"/>
          <w:shd w:val="clear" w:color="auto" w:fill="FFFFFF"/>
        </w:rPr>
        <w:t>环境保护督察报告</w:t>
      </w:r>
      <w:r>
        <w:rPr>
          <w:rFonts w:hint="eastAsia" w:ascii="方正小标宋简体" w:hAnsi="方正小标宋简体" w:eastAsia="方正小标宋简体" w:cs="方正小标宋简体"/>
          <w:b/>
          <w:bCs/>
          <w:color w:val="auto"/>
          <w:sz w:val="44"/>
          <w:szCs w:val="44"/>
          <w:u w:val="none" w:color="auto"/>
          <w:shd w:val="clear" w:color="auto" w:fill="FFFFFF"/>
          <w:lang w:eastAsia="zh-CN"/>
        </w:rPr>
        <w:t>整改任务清单</w:t>
      </w:r>
    </w:p>
    <w:p w14:paraId="2188ED8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b/>
          <w:bCs/>
          <w:color w:val="auto"/>
          <w:sz w:val="32"/>
          <w:szCs w:val="32"/>
          <w:highlight w:val="none"/>
          <w:u w:val="none" w:color="auto"/>
          <w:lang w:val="en-US" w:eastAsia="zh-CN"/>
        </w:rPr>
      </w:pPr>
    </w:p>
    <w:p w14:paraId="2C59F04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楷体" w:hAnsi="华文楷体" w:eastAsia="华文楷体" w:cs="华文楷体"/>
          <w:b/>
          <w:bCs/>
          <w:color w:val="auto"/>
          <w:sz w:val="32"/>
          <w:szCs w:val="32"/>
          <w:highlight w:val="none"/>
          <w:u w:val="none" w:color="auto"/>
          <w:lang w:val="en-US" w:eastAsia="zh-CN"/>
        </w:rPr>
      </w:pPr>
      <w:r>
        <w:rPr>
          <w:rFonts w:hint="eastAsia" w:ascii="华文楷体" w:hAnsi="华文楷体" w:eastAsia="华文楷体" w:cs="华文楷体"/>
          <w:b/>
          <w:bCs/>
          <w:color w:val="auto"/>
          <w:sz w:val="32"/>
          <w:szCs w:val="32"/>
          <w:highlight w:val="none"/>
          <w:lang w:val="en-US" w:eastAsia="zh-CN"/>
        </w:rPr>
        <w:t>第一方面，贯彻习近平生态文明思想还不够深入</w:t>
      </w:r>
    </w:p>
    <w:p w14:paraId="51A6D46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3" w:firstLineChars="200"/>
        <w:jc w:val="both"/>
        <w:textAlignment w:val="auto"/>
        <w:outlineLvl w:val="9"/>
        <w:rPr>
          <w:rFonts w:hint="eastAsia" w:ascii="黑体" w:hAnsi="黑体" w:eastAsia="黑体" w:cs="黑体"/>
          <w:b/>
          <w:bCs/>
          <w:color w:val="auto"/>
          <w:sz w:val="32"/>
          <w:szCs w:val="32"/>
          <w:highlight w:val="none"/>
          <w:u w:val="none" w:color="auto"/>
          <w:lang w:val="en-US" w:eastAsia="zh-CN"/>
        </w:rPr>
      </w:pPr>
      <w:r>
        <w:rPr>
          <w:rFonts w:hint="eastAsia" w:ascii="黑体" w:hAnsi="黑体" w:eastAsia="黑体" w:cs="黑体"/>
          <w:b/>
          <w:bCs/>
          <w:color w:val="auto"/>
          <w:sz w:val="32"/>
          <w:szCs w:val="32"/>
          <w:highlight w:val="none"/>
          <w:u w:val="none" w:color="auto"/>
          <w:lang w:val="en-US" w:eastAsia="zh-CN"/>
        </w:rPr>
        <w:t>一、生态优先理念树立仍不牢固</w:t>
      </w:r>
    </w:p>
    <w:p w14:paraId="33CECA6C">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1.一些地区和部门对习近平生态文明思想学习还不够系统，理论指导实践主动意识不强，对锡林郭勒盟生态环境本底脆弱的现状理解不深刻，对生态环境保护的长期性、紧迫性和艰巨性认识还不到位，高质量发展谋划不足，新兴产业布局尚未形成，传统产业迭代升级较慢，部分旗县（市）倚煤倚矿发展思路仍然较重，贯彻“生态优先、绿色发展”理念还不够全面深入。</w:t>
      </w:r>
    </w:p>
    <w:p w14:paraId="4E10306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各旗县市（区）党委（党工委）和政府（管委会），盟委组织部、宣传部，盟生态环境保护委员会办公室，盟直有关部门单位</w:t>
      </w:r>
    </w:p>
    <w:p w14:paraId="1B033FF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sz w:val="32"/>
          <w:szCs w:val="32"/>
          <w:highlight w:val="none"/>
          <w:u w:val="none" w:color="auto"/>
          <w:lang w:val="en-US" w:eastAsia="zh-CN"/>
        </w:rPr>
        <w:t>盟委办公室、行署办公室（共同牵头）</w:t>
      </w:r>
    </w:p>
    <w:p w14:paraId="7D6E305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sz w:val="32"/>
          <w:szCs w:val="32"/>
          <w:highlight w:val="none"/>
          <w:u w:val="none" w:color="auto"/>
          <w:lang w:val="en-US" w:eastAsia="zh-CN"/>
        </w:rPr>
        <w:t>深入学习贯彻习近平生态文明思想，完整准确全面贯彻新发展理念，全面加强生态环境保护和生态文明建设，加快推动产业转型升级，努力探索资源型地区转型发展新路径。</w:t>
      </w:r>
    </w:p>
    <w:p w14:paraId="66DE66A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sz w:val="32"/>
          <w:szCs w:val="32"/>
          <w:highlight w:val="none"/>
          <w:u w:val="none" w:color="auto"/>
          <w:lang w:val="en-US" w:eastAsia="zh-CN"/>
        </w:rPr>
        <w:t>立行立改，长期坚持</w:t>
      </w:r>
    </w:p>
    <w:p w14:paraId="1547129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sz w:val="32"/>
          <w:szCs w:val="32"/>
          <w:highlight w:val="none"/>
          <w:u w:val="none" w:color="auto"/>
          <w:lang w:val="en-US" w:eastAsia="zh-CN"/>
        </w:rPr>
        <w:t>（一）将习近平生态文明思想和习近平总书记对内蒙古重要指示精神纳入各级党委（党组）理论学习中心组学习、各级党校（行政学院）教学、党政领导干部培训的重要内容，引导广大党员干部进一步深化思想认识，强化生态优先、绿色发展理念。各级党委（党组）理论学习中心组每年至少安排1次习近平生态文明思想学习。</w:t>
      </w:r>
    </w:p>
    <w:p w14:paraId="3EF9B41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二）将生态文明建设和生态环境保护工作纳入各级党委、政府重要议事日程，及时研究解决发展与保护中的重大问题，并将其作为各级党委常委会、政府常务会会议重要内容，及时传达学习国家、自治区关于生态文明建设的决策部署，研究解决生态环境保护工作的重大问题。</w:t>
      </w:r>
    </w:p>
    <w:p w14:paraId="2D325D6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（三）坚持生态优先、绿色发展，大力培育非资源、非能源和战略性新兴产业集群，加快调整产业结构，逐步探索资源型地区转型发展新路径。</w:t>
      </w:r>
    </w:p>
    <w:p w14:paraId="4CC84FB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黑体" w:hAnsi="黑体" w:eastAsia="黑体" w:cs="黑体"/>
          <w:b/>
          <w:bCs/>
          <w:color w:val="auto"/>
          <w:sz w:val="32"/>
          <w:szCs w:val="32"/>
          <w:highlight w:val="none"/>
          <w:u w:val="none" w:color="auto"/>
          <w:lang w:val="en-US" w:eastAsia="zh-CN"/>
        </w:rPr>
      </w:pPr>
      <w:r>
        <w:rPr>
          <w:rFonts w:hint="eastAsia" w:ascii="黑体" w:hAnsi="黑体" w:eastAsia="黑体" w:cs="黑体"/>
          <w:b/>
          <w:bCs/>
          <w:color w:val="auto"/>
          <w:sz w:val="32"/>
          <w:szCs w:val="32"/>
          <w:highlight w:val="none"/>
          <w:u w:val="none" w:color="auto"/>
          <w:lang w:val="en-US" w:eastAsia="zh-CN"/>
        </w:rPr>
        <w:t>二、生态环境保护责任链条拧得不紧</w:t>
      </w:r>
    </w:p>
    <w:p w14:paraId="35E7872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eastAsia="仿宋_GB2312"/>
          <w:b/>
          <w:bCs/>
          <w:color w:val="auto"/>
          <w:sz w:val="32"/>
          <w:szCs w:val="32"/>
          <w:highlight w:val="none"/>
          <w:u w:val="none" w:color="auto"/>
          <w:lang w:val="en-US" w:eastAsia="zh-CN"/>
        </w:rPr>
      </w:pPr>
      <w:r>
        <w:rPr>
          <w:rFonts w:hint="eastAsia" w:ascii="华文楷体" w:hAnsi="华文楷体" w:eastAsia="华文楷体" w:cs="华文楷体"/>
          <w:b/>
          <w:bCs/>
          <w:color w:val="auto"/>
          <w:sz w:val="32"/>
          <w:szCs w:val="32"/>
          <w:highlight w:val="none"/>
          <w:u w:val="none" w:color="auto"/>
          <w:lang w:val="en-US" w:eastAsia="zh-CN"/>
        </w:rPr>
        <w:t>2.</w:t>
      </w:r>
      <w:r>
        <w:rPr>
          <w:rFonts w:hint="eastAsia" w:ascii="华文仿宋" w:hAnsi="华文仿宋" w:eastAsia="华文仿宋" w:cs="华文仿宋"/>
          <w:b/>
          <w:bCs/>
          <w:color w:val="auto"/>
          <w:sz w:val="32"/>
          <w:szCs w:val="32"/>
          <w:highlight w:val="none"/>
          <w:u w:val="none" w:color="auto"/>
          <w:lang w:val="en-US" w:eastAsia="zh-CN"/>
        </w:rPr>
        <w:t>2023年盟检察分院分别对盟自然资源局、林草局、西乌珠穆沁旗政府生态环境监管责任落实不到位下达检察建议书。按照自治区要求，锡林郭勒盟林长制办公室提出苏尼特右旗、东乌珠穆沁旗、西乌珠穆沁旗、正蓝旗的7个破坏草原林地违法违规行为专项整治行动常态化治理遗留问题应于2024年10月底前完成整改销号，截至督察进驻，7个问题仍未完成整改销号。</w:t>
      </w:r>
    </w:p>
    <w:p w14:paraId="38777DE2">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苏尼特右旗、东乌珠穆沁旗、西乌珠穆沁旗、正蓝旗</w:t>
      </w:r>
      <w:r>
        <w:rPr>
          <w:rFonts w:hint="eastAsia" w:ascii="华文仿宋" w:hAnsi="华文仿宋" w:eastAsia="华文仿宋" w:cs="华文仿宋"/>
          <w:b/>
          <w:bCs/>
          <w:color w:val="auto"/>
          <w:sz w:val="32"/>
          <w:szCs w:val="32"/>
          <w:u w:val="none" w:color="auto"/>
          <w:lang w:val="en-US" w:eastAsia="zh-CN"/>
        </w:rPr>
        <w:t>党委和政府</w:t>
      </w:r>
    </w:p>
    <w:p w14:paraId="6A58DDAC">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验收单位：</w:t>
      </w:r>
      <w:r>
        <w:rPr>
          <w:rFonts w:hint="eastAsia" w:ascii="华文仿宋" w:hAnsi="华文仿宋" w:eastAsia="华文仿宋" w:cs="华文仿宋"/>
          <w:b/>
          <w:bCs/>
          <w:color w:val="auto"/>
          <w:sz w:val="32"/>
          <w:szCs w:val="32"/>
          <w:highlight w:val="none"/>
          <w:u w:val="none" w:color="auto"/>
          <w:lang w:val="en-US" w:eastAsia="zh-CN"/>
        </w:rPr>
        <w:t>盟林草局、自然资源局、发改委、文体旅游广电局、公安局</w:t>
      </w:r>
    </w:p>
    <w:p w14:paraId="1D97F2A9">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highlight w:val="none"/>
          <w:u w:val="none" w:color="auto"/>
          <w:lang w:val="en-US" w:eastAsia="zh-CN"/>
        </w:rPr>
      </w:pPr>
      <w:r>
        <w:rPr>
          <w:rFonts w:hint="eastAsia" w:ascii="仿宋_GB2312" w:hAnsi="仿宋_GB2312" w:eastAsia="黑体" w:cs="仿宋_GB2312"/>
          <w:b/>
          <w:bCs/>
          <w:color w:val="auto"/>
          <w:sz w:val="32"/>
          <w:szCs w:val="32"/>
          <w:u w:val="none" w:color="auto"/>
          <w:lang w:val="en-US" w:eastAsia="zh-CN"/>
        </w:rPr>
        <w:t>整改目标：</w:t>
      </w:r>
      <w:r>
        <w:rPr>
          <w:rFonts w:hint="eastAsia" w:ascii="华文仿宋" w:hAnsi="华文仿宋" w:eastAsia="华文仿宋" w:cs="华文仿宋"/>
          <w:b/>
          <w:bCs/>
          <w:color w:val="auto"/>
          <w:sz w:val="32"/>
          <w:szCs w:val="32"/>
          <w:highlight w:val="none"/>
          <w:u w:val="none" w:color="auto"/>
          <w:lang w:val="en-US" w:eastAsia="zh-CN"/>
        </w:rPr>
        <w:t>加强草原生态保护监管，依法查处违规违法占用草原行为，涉嫌犯罪的移交司法机关处理。符合条件的限期办理林地草原征占用审核手续，不符合条件的限期拆除并恢复植被。</w:t>
      </w:r>
    </w:p>
    <w:p w14:paraId="094026DB">
      <w:pPr>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整改时限：</w:t>
      </w:r>
      <w:r>
        <w:rPr>
          <w:rFonts w:hint="eastAsia" w:ascii="华文仿宋" w:hAnsi="华文仿宋" w:eastAsia="华文仿宋" w:cs="华文仿宋"/>
          <w:b/>
          <w:bCs/>
          <w:color w:val="auto"/>
          <w:kern w:val="0"/>
          <w:sz w:val="32"/>
          <w:szCs w:val="32"/>
          <w:highlight w:val="none"/>
          <w:u w:val="none" w:color="auto"/>
          <w:lang w:val="en-US" w:eastAsia="zh-CN" w:bidi="ar-SA"/>
        </w:rPr>
        <w:t>2025年12月底</w:t>
      </w:r>
    </w:p>
    <w:p w14:paraId="20C5C28A">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0"/>
          <w:sz w:val="32"/>
          <w:szCs w:val="32"/>
          <w:highlight w:val="yellow"/>
          <w:u w:val="none" w:color="auto"/>
          <w:lang w:val="en-US" w:eastAsia="zh-CN" w:bidi="ar-SA"/>
        </w:rPr>
      </w:pPr>
      <w:r>
        <w:rPr>
          <w:rFonts w:hint="eastAsia" w:ascii="仿宋_GB2312" w:hAnsi="仿宋_GB2312" w:eastAsia="黑体" w:cs="仿宋_GB2312"/>
          <w:b/>
          <w:bCs/>
          <w:color w:val="auto"/>
          <w:sz w:val="32"/>
          <w:szCs w:val="32"/>
          <w:u w:val="none" w:color="auto"/>
          <w:lang w:val="en-US" w:eastAsia="zh-CN"/>
        </w:rPr>
        <w:t>整改措施：</w:t>
      </w:r>
      <w:r>
        <w:rPr>
          <w:rFonts w:hint="eastAsia" w:ascii="华文仿宋" w:hAnsi="华文仿宋" w:eastAsia="华文仿宋" w:cs="华文仿宋"/>
          <w:b/>
          <w:bCs/>
          <w:color w:val="auto"/>
          <w:kern w:val="0"/>
          <w:sz w:val="32"/>
          <w:szCs w:val="32"/>
          <w:highlight w:val="none"/>
          <w:u w:val="none" w:color="auto"/>
          <w:lang w:val="en-US" w:eastAsia="zh-CN" w:bidi="ar-SA"/>
        </w:rPr>
        <w:t>（一）对正蓝旗3处旅游设施，属地政府督促相关部门、企业尽快完成新建草原集宿区手续，2025年12月底前完成搬迁整改工作。</w:t>
      </w:r>
    </w:p>
    <w:p w14:paraId="39049D5E">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0"/>
          <w:sz w:val="32"/>
          <w:szCs w:val="32"/>
          <w:highlight w:val="yellow"/>
          <w:u w:val="none" w:color="auto"/>
          <w:lang w:val="en-US" w:eastAsia="zh-CN" w:bidi="ar-SA"/>
        </w:rPr>
      </w:pPr>
      <w:r>
        <w:rPr>
          <w:rFonts w:hint="eastAsia" w:ascii="华文仿宋" w:hAnsi="华文仿宋" w:eastAsia="华文仿宋" w:cs="华文仿宋"/>
          <w:b/>
          <w:bCs/>
          <w:color w:val="auto"/>
          <w:kern w:val="0"/>
          <w:sz w:val="32"/>
          <w:szCs w:val="32"/>
          <w:highlight w:val="none"/>
          <w:u w:val="none" w:color="auto"/>
          <w:lang w:val="en-US" w:eastAsia="zh-CN" w:bidi="ar-SA"/>
        </w:rPr>
        <w:t>（二）属地政府责成执法部门依法查处苏尼特右旗、东乌珠穆沁旗、西乌珠穆沁旗3个项目草原违法问题，完善立项并组件后，办理</w:t>
      </w:r>
      <w:r>
        <w:rPr>
          <w:rFonts w:hint="eastAsia" w:ascii="华文仿宋" w:hAnsi="华文仿宋" w:eastAsia="华文仿宋" w:cs="华文仿宋"/>
          <w:b/>
          <w:bCs/>
          <w:color w:val="auto"/>
          <w:sz w:val="32"/>
          <w:szCs w:val="32"/>
          <w:u w:val="none" w:color="auto"/>
          <w:lang w:val="en-US" w:eastAsia="zh-CN"/>
        </w:rPr>
        <w:t>林地草原征占用审核手续</w:t>
      </w:r>
      <w:r>
        <w:rPr>
          <w:rFonts w:hint="eastAsia" w:ascii="华文仿宋" w:hAnsi="华文仿宋" w:eastAsia="华文仿宋" w:cs="华文仿宋"/>
          <w:b/>
          <w:bCs/>
          <w:color w:val="auto"/>
          <w:kern w:val="0"/>
          <w:sz w:val="32"/>
          <w:szCs w:val="32"/>
          <w:highlight w:val="none"/>
          <w:u w:val="none" w:color="auto"/>
          <w:lang w:val="en-US" w:eastAsia="zh-CN" w:bidi="ar-SA"/>
        </w:rPr>
        <w:t>；若不具备办理手续条件，属地政府督促相关部门依法拆除，2025年12月底前恢复植被，完成植被恢复后同步组织并通过验收。</w:t>
      </w:r>
    </w:p>
    <w:p w14:paraId="7814FE16">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0"/>
          <w:sz w:val="32"/>
          <w:szCs w:val="32"/>
          <w:highlight w:val="none"/>
          <w:u w:val="none" w:color="auto"/>
          <w:lang w:val="en-US" w:eastAsia="zh-CN" w:bidi="ar-SA"/>
        </w:rPr>
      </w:pPr>
      <w:r>
        <w:rPr>
          <w:rFonts w:hint="eastAsia" w:ascii="华文仿宋" w:hAnsi="华文仿宋" w:eastAsia="华文仿宋" w:cs="华文仿宋"/>
          <w:b/>
          <w:bCs/>
          <w:color w:val="auto"/>
          <w:kern w:val="0"/>
          <w:sz w:val="32"/>
          <w:szCs w:val="32"/>
          <w:highlight w:val="none"/>
          <w:u w:val="none" w:color="auto"/>
          <w:lang w:val="en-US" w:eastAsia="zh-CN" w:bidi="ar-SA"/>
        </w:rPr>
        <w:t>（三）属地政府督促执法部门对开垦草原案件的违法行为依法查处，并按照司法程序移交相关部门处理。</w:t>
      </w:r>
    </w:p>
    <w:p w14:paraId="512AB2EB">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0"/>
          <w:sz w:val="32"/>
          <w:szCs w:val="32"/>
          <w:highlight w:val="none"/>
          <w:u w:val="none" w:color="auto"/>
          <w:lang w:val="en-US" w:eastAsia="zh-CN" w:bidi="ar-SA"/>
        </w:rPr>
      </w:pPr>
      <w:r>
        <w:rPr>
          <w:rFonts w:hint="eastAsia" w:ascii="华文仿宋" w:hAnsi="华文仿宋" w:eastAsia="华文仿宋" w:cs="华文仿宋"/>
          <w:b/>
          <w:bCs/>
          <w:color w:val="auto"/>
          <w:kern w:val="0"/>
          <w:sz w:val="32"/>
          <w:szCs w:val="32"/>
          <w:highlight w:val="none"/>
          <w:u w:val="none" w:color="auto"/>
          <w:lang w:val="en-US" w:eastAsia="zh-CN" w:bidi="ar-SA"/>
        </w:rPr>
        <w:t>（四）盟自然资源局、西乌珠穆沁旗政府举一反三落实检察建议书要求，规范加强矿山地质环境保护治理工作。</w:t>
      </w:r>
    </w:p>
    <w:p w14:paraId="68B2B3DF">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0"/>
          <w:sz w:val="32"/>
          <w:szCs w:val="32"/>
          <w:highlight w:val="yellow"/>
          <w:u w:val="none" w:color="auto"/>
          <w:lang w:val="en-US" w:eastAsia="zh-CN" w:bidi="ar-SA"/>
        </w:rPr>
      </w:pPr>
      <w:r>
        <w:rPr>
          <w:rFonts w:hint="eastAsia" w:ascii="华文仿宋" w:hAnsi="华文仿宋" w:eastAsia="华文仿宋" w:cs="华文仿宋"/>
          <w:b/>
          <w:bCs/>
          <w:color w:val="auto"/>
          <w:kern w:val="0"/>
          <w:sz w:val="32"/>
          <w:szCs w:val="32"/>
          <w:highlight w:val="none"/>
          <w:u w:val="none" w:color="auto"/>
          <w:lang w:val="en-US" w:eastAsia="zh-CN" w:bidi="ar-SA"/>
        </w:rPr>
        <w:t>（五）盟林草局持续加强草原生态保护监管，配合公安部门严厉打击盗采野生药材等破坏生态资源违法犯罪行为，切实保护野生植物资源。</w:t>
      </w:r>
    </w:p>
    <w:p w14:paraId="4453479C">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黑体" w:hAnsi="黑体" w:eastAsia="黑体" w:cs="黑体"/>
          <w:b/>
          <w:bCs/>
          <w:color w:val="auto"/>
          <w:sz w:val="32"/>
          <w:szCs w:val="32"/>
          <w:highlight w:val="none"/>
          <w:u w:val="none" w:color="auto"/>
          <w:lang w:val="en-US" w:eastAsia="zh-CN"/>
        </w:rPr>
      </w:pPr>
      <w:r>
        <w:rPr>
          <w:rFonts w:hint="eastAsia" w:ascii="黑体" w:hAnsi="黑体" w:eastAsia="黑体" w:cs="黑体"/>
          <w:b/>
          <w:bCs/>
          <w:color w:val="auto"/>
          <w:sz w:val="32"/>
          <w:szCs w:val="32"/>
          <w:highlight w:val="none"/>
          <w:u w:val="none" w:color="auto"/>
          <w:lang w:val="en-US" w:eastAsia="zh-CN"/>
        </w:rPr>
        <w:t>三、督察整改不到位</w:t>
      </w:r>
    </w:p>
    <w:p w14:paraId="1D9B862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3.第二轮中央生态环境保护督察指出，我区对湿地保护重视不够，未安排湿地保护资金问题。锡林郭勒盟整改方案提出，盟财政局将盟林草部门提交行署审定的湿地保护修复资金纳入年度财政预算。督察发现，2024年镶黄旗、太仆寺旗湿地保护资金未列入年度财政预算。正镶白旗财政仅追加资金27.19万元，用于骏马湖国家湿地公园验收相关工作；乌拉盖管理区仅调剂59万元用于湿地保护规划编制，阶段性整改任务未完成。</w:t>
      </w:r>
    </w:p>
    <w:p w14:paraId="356EBAB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0"/>
          <w:sz w:val="32"/>
          <w:szCs w:val="32"/>
          <w:highlight w:val="none"/>
          <w:u w:val="none" w:color="auto"/>
          <w:lang w:val="en-US" w:eastAsia="zh-CN" w:bidi="ar-SA"/>
        </w:rPr>
        <w:t>镶黄旗、太仆寺旗、正镶白旗、乌拉盖管理区党委</w:t>
      </w:r>
      <w:r>
        <w:rPr>
          <w:rFonts w:hint="eastAsia" w:ascii="华文仿宋" w:hAnsi="华文仿宋" w:eastAsia="华文仿宋" w:cs="华文仿宋"/>
          <w:b/>
          <w:bCs/>
          <w:color w:val="auto"/>
          <w:sz w:val="32"/>
          <w:szCs w:val="32"/>
          <w:highlight w:val="none"/>
          <w:u w:val="none" w:color="auto"/>
          <w:lang w:val="en-US" w:eastAsia="zh-CN"/>
        </w:rPr>
        <w:t>（党工委）</w:t>
      </w:r>
      <w:r>
        <w:rPr>
          <w:rFonts w:hint="eastAsia" w:ascii="华文仿宋" w:hAnsi="华文仿宋" w:eastAsia="华文仿宋" w:cs="华文仿宋"/>
          <w:b/>
          <w:bCs/>
          <w:color w:val="auto"/>
          <w:kern w:val="0"/>
          <w:sz w:val="32"/>
          <w:szCs w:val="32"/>
          <w:highlight w:val="none"/>
          <w:u w:val="none" w:color="auto"/>
          <w:lang w:val="en-US" w:eastAsia="zh-CN" w:bidi="ar-SA"/>
        </w:rPr>
        <w:t>和政府（管委会）</w:t>
      </w:r>
    </w:p>
    <w:p w14:paraId="64FC9ED6">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0"/>
          <w:sz w:val="32"/>
          <w:szCs w:val="32"/>
          <w:highlight w:val="none"/>
          <w:u w:val="none" w:color="auto"/>
          <w:lang w:val="en-US" w:eastAsia="zh-CN" w:bidi="ar-SA"/>
        </w:rPr>
        <w:t>盟财政局、林草局</w:t>
      </w:r>
    </w:p>
    <w:p w14:paraId="1B06130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0"/>
          <w:sz w:val="32"/>
          <w:szCs w:val="32"/>
          <w:highlight w:val="none"/>
          <w:u w:val="none" w:color="auto"/>
          <w:lang w:val="en-US" w:eastAsia="zh-CN" w:bidi="ar-SA"/>
        </w:rPr>
        <w:t>按需保障湿地保护资金投入。</w:t>
      </w:r>
    </w:p>
    <w:p w14:paraId="73E533F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0"/>
          <w:sz w:val="32"/>
          <w:szCs w:val="32"/>
          <w:highlight w:val="none"/>
          <w:u w:val="none" w:color="auto"/>
          <w:lang w:val="en-US" w:eastAsia="zh-CN" w:bidi="ar-SA"/>
        </w:rPr>
        <w:t>2025年4月底</w:t>
      </w:r>
    </w:p>
    <w:p w14:paraId="77051F8B">
      <w:pPr>
        <w:keepNext w:val="0"/>
        <w:keepLines w:val="0"/>
        <w:pageBreakBefore w:val="0"/>
        <w:widowControl w:val="0"/>
        <w:wordWrap/>
        <w:bidi w:val="0"/>
        <w:spacing w:line="600" w:lineRule="exact"/>
        <w:ind w:firstLine="643" w:firstLineChars="200"/>
        <w:jc w:val="both"/>
        <w:rPr>
          <w:rFonts w:hint="eastAsia" w:ascii="华文仿宋" w:hAnsi="华文仿宋" w:eastAsia="华文仿宋" w:cs="华文仿宋"/>
          <w:b/>
          <w:bCs/>
          <w:color w:val="auto"/>
          <w:kern w:val="0"/>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0"/>
          <w:sz w:val="32"/>
          <w:szCs w:val="32"/>
          <w:highlight w:val="none"/>
          <w:u w:val="none" w:color="auto"/>
          <w:lang w:val="en-US" w:eastAsia="zh-CN" w:bidi="ar-SA"/>
        </w:rPr>
        <w:t>（一）</w:t>
      </w:r>
      <w:r>
        <w:rPr>
          <w:rFonts w:hint="eastAsia" w:ascii="华文仿宋" w:hAnsi="华文仿宋" w:eastAsia="华文仿宋" w:cs="华文仿宋"/>
          <w:b/>
          <w:bCs/>
          <w:sz w:val="32"/>
          <w:szCs w:val="32"/>
          <w:u w:val="none" w:color="auto"/>
          <w:lang w:val="en-US" w:eastAsia="zh-CN"/>
        </w:rPr>
        <w:t>根据湿地保护需求，</w:t>
      </w:r>
      <w:r>
        <w:rPr>
          <w:rFonts w:hint="eastAsia" w:ascii="华文仿宋" w:hAnsi="华文仿宋" w:eastAsia="华文仿宋" w:cs="华文仿宋"/>
          <w:b/>
          <w:bCs/>
          <w:sz w:val="32"/>
          <w:szCs w:val="32"/>
          <w:u w:val="none" w:color="auto"/>
          <w:lang w:eastAsia="zh-CN"/>
        </w:rPr>
        <w:t>镶黄旗、太仆寺旗、正镶白旗、乌拉盖管理区将湿地保护资金列入</w:t>
      </w:r>
      <w:r>
        <w:rPr>
          <w:rFonts w:hint="eastAsia" w:ascii="华文仿宋" w:hAnsi="华文仿宋" w:eastAsia="华文仿宋" w:cs="华文仿宋"/>
          <w:b/>
          <w:bCs/>
          <w:sz w:val="32"/>
          <w:szCs w:val="32"/>
          <w:u w:val="none" w:color="auto"/>
          <w:lang w:val="en-US" w:eastAsia="zh-CN"/>
        </w:rPr>
        <w:t>年度旗级财政预算，</w:t>
      </w:r>
      <w:r>
        <w:rPr>
          <w:rFonts w:hint="eastAsia" w:ascii="华文仿宋" w:hAnsi="华文仿宋" w:eastAsia="华文仿宋" w:cs="华文仿宋"/>
          <w:b/>
          <w:bCs/>
          <w:sz w:val="32"/>
          <w:szCs w:val="32"/>
          <w:u w:val="none" w:color="auto"/>
          <w:lang w:eastAsia="zh-CN"/>
        </w:rPr>
        <w:t>督促其他旗县市</w:t>
      </w:r>
      <w:r>
        <w:rPr>
          <w:rFonts w:hint="eastAsia" w:ascii="华文仿宋" w:hAnsi="华文仿宋" w:eastAsia="华文仿宋" w:cs="华文仿宋"/>
          <w:b/>
          <w:bCs/>
          <w:sz w:val="32"/>
          <w:szCs w:val="32"/>
          <w:u w:val="none" w:color="auto"/>
          <w:lang w:val="en-US" w:eastAsia="zh-CN"/>
        </w:rPr>
        <w:t>逐步建立湿地保护资金长效机制，合理保障湿地保护工作需要，并加强资金使用监管，确保湿地保护工作有序开展。</w:t>
      </w:r>
    </w:p>
    <w:p w14:paraId="5C02BE23">
      <w:pPr>
        <w:keepNext w:val="0"/>
        <w:keepLines w:val="0"/>
        <w:pageBreakBefore w:val="0"/>
        <w:widowControl w:val="0"/>
        <w:wordWrap/>
        <w:overflowPunct/>
        <w:topLinePunct w:val="0"/>
        <w:bidi w:val="0"/>
        <w:adjustRightInd w:val="0"/>
        <w:snapToGrid w:val="0"/>
        <w:spacing w:line="600" w:lineRule="exact"/>
        <w:ind w:left="0" w:leftChars="0" w:firstLine="643" w:firstLineChars="200"/>
        <w:jc w:val="both"/>
        <w:rPr>
          <w:rFonts w:hint="default" w:ascii="华文仿宋" w:hAnsi="华文仿宋" w:eastAsia="华文仿宋" w:cs="华文仿宋"/>
          <w:b/>
          <w:bCs/>
          <w:color w:val="auto"/>
          <w:kern w:val="0"/>
          <w:sz w:val="32"/>
          <w:szCs w:val="32"/>
          <w:highlight w:val="none"/>
          <w:u w:val="none" w:color="auto"/>
          <w:lang w:val="en-US" w:eastAsia="zh-CN" w:bidi="ar-SA"/>
        </w:rPr>
      </w:pPr>
      <w:r>
        <w:rPr>
          <w:rFonts w:hint="eastAsia" w:ascii="华文仿宋" w:hAnsi="华文仿宋" w:eastAsia="华文仿宋" w:cs="华文仿宋"/>
          <w:b/>
          <w:bCs/>
          <w:color w:val="auto"/>
          <w:kern w:val="0"/>
          <w:sz w:val="32"/>
          <w:szCs w:val="32"/>
          <w:highlight w:val="none"/>
          <w:u w:val="none" w:color="auto"/>
          <w:lang w:val="en-US" w:eastAsia="zh-CN" w:bidi="ar-SA"/>
        </w:rPr>
        <w:t>（二）</w:t>
      </w:r>
      <w:r>
        <w:rPr>
          <w:rFonts w:hint="eastAsia" w:ascii="华文仿宋" w:hAnsi="华文仿宋" w:eastAsia="华文仿宋" w:cs="华文仿宋"/>
          <w:b/>
          <w:bCs/>
          <w:sz w:val="32"/>
          <w:szCs w:val="32"/>
          <w:u w:val="none" w:color="auto"/>
          <w:lang w:val="en-US" w:eastAsia="zh-CN"/>
        </w:rPr>
        <w:t>盟财政局根据盟林草局提供的工作计划，拟安排湿地和自然保护地工作经费报人大工委审定后拨付。</w:t>
      </w:r>
    </w:p>
    <w:p w14:paraId="0C4CE419">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contextualSpacing/>
        <w:jc w:val="both"/>
        <w:textAlignment w:val="auto"/>
        <w:outlineLvl w:val="9"/>
        <w:rPr>
          <w:rFonts w:hint="eastAsia" w:ascii="华文楷体" w:hAnsi="华文楷体" w:eastAsia="华文楷体" w:cs="华文楷体"/>
          <w:b/>
          <w:bCs/>
          <w:color w:val="auto"/>
          <w:sz w:val="32"/>
          <w:szCs w:val="32"/>
          <w:lang w:val="en-US" w:eastAsia="zh-CN"/>
        </w:rPr>
      </w:pPr>
      <w:r>
        <w:rPr>
          <w:rFonts w:hint="eastAsia" w:ascii="华文楷体" w:hAnsi="华文楷体" w:eastAsia="华文楷体" w:cs="华文楷体"/>
          <w:b/>
          <w:bCs/>
          <w:color w:val="auto"/>
          <w:sz w:val="32"/>
          <w:szCs w:val="32"/>
          <w:lang w:val="en-US" w:eastAsia="zh-CN"/>
        </w:rPr>
        <w:t>第二方面，生态系统一体化治理还存在差距</w:t>
      </w:r>
    </w:p>
    <w:p w14:paraId="71BA43EF">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contextualSpacing/>
        <w:jc w:val="both"/>
        <w:textAlignment w:val="auto"/>
        <w:outlineLvl w:val="9"/>
        <w:rPr>
          <w:rFonts w:hint="eastAsia" w:ascii="黑体" w:hAnsi="黑体" w:eastAsia="黑体" w:cs="黑体"/>
          <w:b/>
          <w:bCs/>
          <w:color w:val="auto"/>
          <w:sz w:val="32"/>
          <w:szCs w:val="32"/>
          <w:highlight w:val="none"/>
          <w:u w:val="none" w:color="auto"/>
          <w:lang w:val="en-US" w:eastAsia="zh-CN"/>
        </w:rPr>
      </w:pPr>
      <w:r>
        <w:rPr>
          <w:rFonts w:hint="eastAsia" w:ascii="黑体" w:hAnsi="黑体" w:eastAsia="黑体" w:cs="黑体"/>
          <w:b/>
          <w:bCs/>
          <w:color w:val="auto"/>
          <w:sz w:val="32"/>
          <w:szCs w:val="32"/>
          <w:highlight w:val="none"/>
          <w:u w:val="none" w:color="auto"/>
          <w:lang w:val="en-US" w:eastAsia="zh-CN"/>
        </w:rPr>
        <w:t>四、草原生态保护落实不力</w:t>
      </w:r>
    </w:p>
    <w:p w14:paraId="026645C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3" w:firstLineChars="200"/>
        <w:jc w:val="both"/>
        <w:textAlignment w:val="auto"/>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4.超载过牧问题尚未得到根本解决，违规放牧问题多发，2022年到2024年全盟每年违规放牧案件查处数量都在1000件以上。</w:t>
      </w:r>
    </w:p>
    <w:p w14:paraId="2864D33B">
      <w:pPr>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highlight w:val="none"/>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各旗县市（区）党委（党工委）和政府（管委会）</w:t>
      </w:r>
    </w:p>
    <w:p w14:paraId="6B867F86">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验收单位：</w:t>
      </w:r>
      <w:r>
        <w:rPr>
          <w:rFonts w:hint="eastAsia" w:ascii="华文仿宋" w:hAnsi="华文仿宋" w:eastAsia="华文仿宋" w:cs="华文仿宋"/>
          <w:b/>
          <w:bCs/>
          <w:color w:val="auto"/>
          <w:kern w:val="0"/>
          <w:sz w:val="32"/>
          <w:szCs w:val="32"/>
          <w:highlight w:val="none"/>
          <w:u w:val="none" w:color="auto"/>
          <w:lang w:val="en-US" w:eastAsia="zh-CN" w:bidi="ar-SA"/>
        </w:rPr>
        <w:t>盟林草局、农牧局</w:t>
      </w:r>
    </w:p>
    <w:p w14:paraId="2F39EB06">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整改目标：</w:t>
      </w:r>
      <w:r>
        <w:rPr>
          <w:rFonts w:hint="eastAsia" w:ascii="华文仿宋" w:hAnsi="华文仿宋" w:eastAsia="华文仿宋" w:cs="华文仿宋"/>
          <w:b/>
          <w:bCs/>
          <w:color w:val="auto"/>
          <w:kern w:val="0"/>
          <w:sz w:val="32"/>
          <w:szCs w:val="32"/>
          <w:highlight w:val="none"/>
          <w:u w:val="none" w:color="auto"/>
          <w:lang w:val="en-US" w:eastAsia="zh-CN" w:bidi="ar-SA"/>
        </w:rPr>
        <w:t>贯彻落实草原生态保护政策，合理控制天然放养牲畜规模。</w:t>
      </w:r>
    </w:p>
    <w:p w14:paraId="35F9028D">
      <w:pPr>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整改时限：</w:t>
      </w:r>
      <w:r>
        <w:rPr>
          <w:rFonts w:hint="eastAsia" w:ascii="华文仿宋" w:hAnsi="华文仿宋" w:eastAsia="华文仿宋" w:cs="华文仿宋"/>
          <w:b/>
          <w:bCs/>
          <w:color w:val="auto"/>
          <w:kern w:val="0"/>
          <w:sz w:val="32"/>
          <w:szCs w:val="32"/>
          <w:highlight w:val="none"/>
          <w:u w:val="none" w:color="auto"/>
          <w:lang w:val="en-US" w:eastAsia="zh-CN" w:bidi="ar-SA"/>
        </w:rPr>
        <w:t>2025年12月底</w:t>
      </w:r>
    </w:p>
    <w:p w14:paraId="3D51ADB1">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0"/>
          <w:sz w:val="32"/>
          <w:szCs w:val="32"/>
          <w:highlight w:val="none"/>
          <w:u w:val="none" w:color="auto"/>
          <w:lang w:val="en-US" w:eastAsia="zh-CN" w:bidi="ar-SA"/>
        </w:rPr>
      </w:pPr>
      <w:r>
        <w:rPr>
          <w:rFonts w:hint="eastAsia" w:ascii="仿宋_GB2312" w:hAnsi="仿宋_GB2312" w:eastAsia="黑体" w:cs="仿宋_GB2312"/>
          <w:b/>
          <w:bCs/>
          <w:color w:val="auto"/>
          <w:sz w:val="32"/>
          <w:szCs w:val="32"/>
          <w:u w:val="none" w:color="auto"/>
          <w:lang w:val="en-US" w:eastAsia="zh-CN"/>
        </w:rPr>
        <w:t>整改措施：</w:t>
      </w:r>
      <w:r>
        <w:rPr>
          <w:rFonts w:hint="eastAsia" w:ascii="华文仿宋" w:hAnsi="华文仿宋" w:eastAsia="华文仿宋" w:cs="华文仿宋"/>
          <w:b/>
          <w:bCs/>
          <w:color w:val="auto"/>
          <w:kern w:val="0"/>
          <w:sz w:val="32"/>
          <w:szCs w:val="32"/>
          <w:highlight w:val="none"/>
          <w:u w:val="none" w:color="auto"/>
          <w:lang w:val="en-US" w:eastAsia="zh-CN" w:bidi="ar-SA"/>
        </w:rPr>
        <w:t>（一）各旗县市（区）严格落实草畜平衡和休禁牧制度，相关超载过牧地区要通过舍饲圈养、出栏、走场等方式分流，减少天然草原放养牲畜数，逐步实现禁牧区零放牧、草畜平衡区平衡指数控制在10%以下。</w:t>
      </w:r>
    </w:p>
    <w:p w14:paraId="53687BC9">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0"/>
          <w:sz w:val="32"/>
          <w:szCs w:val="32"/>
          <w:highlight w:val="none"/>
          <w:u w:val="none" w:color="auto"/>
          <w:lang w:val="en-US" w:eastAsia="zh-CN" w:bidi="ar-SA"/>
        </w:rPr>
      </w:pPr>
      <w:r>
        <w:rPr>
          <w:rFonts w:hint="eastAsia" w:ascii="华文仿宋" w:hAnsi="华文仿宋" w:eastAsia="华文仿宋" w:cs="华文仿宋"/>
          <w:b/>
          <w:bCs/>
          <w:color w:val="auto"/>
          <w:kern w:val="0"/>
          <w:sz w:val="32"/>
          <w:szCs w:val="32"/>
          <w:highlight w:val="none"/>
          <w:u w:val="none" w:color="auto"/>
          <w:lang w:val="en-US" w:eastAsia="zh-CN" w:bidi="ar-SA"/>
        </w:rPr>
        <w:t>（二）</w:t>
      </w:r>
      <w:r>
        <w:rPr>
          <w:rFonts w:hint="eastAsia" w:ascii="华文仿宋" w:hAnsi="华文仿宋" w:eastAsia="华文仿宋" w:cs="华文仿宋"/>
          <w:b/>
          <w:bCs/>
          <w:color w:val="auto"/>
          <w:sz w:val="32"/>
          <w:szCs w:val="32"/>
          <w:highlight w:val="none"/>
          <w:u w:val="none" w:color="auto"/>
          <w:lang w:val="en-US" w:eastAsia="zh-CN"/>
        </w:rPr>
        <w:t>各旗县市（区）政府（管委会）和盟旗两级林草部门</w:t>
      </w:r>
      <w:r>
        <w:rPr>
          <w:rFonts w:hint="eastAsia" w:ascii="华文仿宋" w:hAnsi="华文仿宋" w:eastAsia="华文仿宋" w:cs="华文仿宋"/>
          <w:b/>
          <w:bCs/>
          <w:color w:val="auto"/>
          <w:kern w:val="0"/>
          <w:sz w:val="32"/>
          <w:szCs w:val="32"/>
          <w:highlight w:val="none"/>
          <w:u w:val="none" w:color="auto"/>
          <w:lang w:val="en-US" w:eastAsia="zh-CN" w:bidi="ar-SA"/>
        </w:rPr>
        <w:t>通过广播电视、自媒体、短信平台等编发报道草原保护方面政策信息，广泛宣传《内蒙古自治区草畜平衡和禁牧休牧条例》，着力提升全民保护草原生态意识。</w:t>
      </w:r>
    </w:p>
    <w:p w14:paraId="44C12CCC">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0"/>
          <w:sz w:val="32"/>
          <w:szCs w:val="32"/>
          <w:highlight w:val="none"/>
          <w:u w:val="none" w:color="auto"/>
          <w:lang w:val="en-US" w:eastAsia="zh-CN" w:bidi="ar-SA"/>
        </w:rPr>
      </w:pPr>
      <w:r>
        <w:rPr>
          <w:rFonts w:hint="eastAsia" w:ascii="华文仿宋" w:hAnsi="华文仿宋" w:eastAsia="华文仿宋" w:cs="华文仿宋"/>
          <w:b/>
          <w:bCs/>
          <w:color w:val="auto"/>
          <w:kern w:val="0"/>
          <w:sz w:val="32"/>
          <w:szCs w:val="32"/>
          <w:highlight w:val="none"/>
          <w:u w:val="none" w:color="auto"/>
          <w:lang w:val="en-US" w:eastAsia="zh-CN" w:bidi="ar-SA"/>
        </w:rPr>
        <w:t>（三）盟旗两级林草主管部门指导执法部门加大执法监管力度，旗县市（区）、苏木乡镇厘清执法职责建立联合执法机制，依托草原网格员和第三方无人机巡护机制，按照《内蒙古自治区草畜平衡和禁牧休牧条例》相关规定，及时发现并严厉打击违规放牧和超载过牧行为。</w:t>
      </w:r>
    </w:p>
    <w:p w14:paraId="3E620D7B">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黑体" w:hAnsi="黑体" w:eastAsia="黑体" w:cs="黑体"/>
          <w:b/>
          <w:bCs/>
          <w:color w:val="auto"/>
          <w:sz w:val="32"/>
          <w:szCs w:val="32"/>
          <w:highlight w:val="none"/>
          <w:u w:val="none" w:color="auto"/>
          <w:lang w:val="en-US" w:eastAsia="zh-CN"/>
        </w:rPr>
      </w:pPr>
      <w:r>
        <w:rPr>
          <w:rFonts w:hint="eastAsia" w:ascii="黑体" w:hAnsi="黑体" w:eastAsia="黑体" w:cs="黑体"/>
          <w:b/>
          <w:bCs/>
          <w:color w:val="auto"/>
          <w:sz w:val="32"/>
          <w:szCs w:val="32"/>
          <w:highlight w:val="none"/>
          <w:u w:val="none" w:color="auto"/>
          <w:lang w:val="en-US" w:eastAsia="zh-CN"/>
        </w:rPr>
        <w:t>五、违规侵占林草地问题仍然较多</w:t>
      </w:r>
    </w:p>
    <w:p w14:paraId="2C3C2CB9">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Times New Roman" w:eastAsia="仿宋_GB2312" w:cs="Times New Roman"/>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5.督察发现，阿巴嘎旗、东乌珠穆沁旗等7个旗县16家工矿企业违法占用林草地。</w:t>
      </w:r>
    </w:p>
    <w:p w14:paraId="589D1A26">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责任单位：</w:t>
      </w:r>
      <w:r>
        <w:rPr>
          <w:rFonts w:hint="eastAsia" w:ascii="华文仿宋" w:hAnsi="华文仿宋" w:eastAsia="华文仿宋" w:cs="华文仿宋"/>
          <w:b/>
          <w:bCs/>
          <w:color w:val="auto"/>
          <w:sz w:val="32"/>
          <w:szCs w:val="32"/>
          <w:u w:val="none" w:color="auto"/>
          <w:lang w:val="en-US" w:eastAsia="zh-CN"/>
        </w:rPr>
        <w:t>阿巴嘎旗、</w:t>
      </w:r>
      <w:r>
        <w:rPr>
          <w:rFonts w:hint="eastAsia" w:ascii="华文仿宋" w:hAnsi="华文仿宋" w:eastAsia="华文仿宋" w:cs="华文仿宋"/>
          <w:b/>
          <w:bCs/>
          <w:color w:val="auto"/>
          <w:sz w:val="32"/>
          <w:szCs w:val="32"/>
          <w:u w:val="none" w:color="auto"/>
          <w:lang w:eastAsia="zh-CN"/>
        </w:rPr>
        <w:t>东乌珠穆沁旗、正蓝旗、正镶白旗、太仆寺旗、苏尼特右旗、多伦县</w:t>
      </w:r>
      <w:r>
        <w:rPr>
          <w:rFonts w:hint="eastAsia" w:ascii="华文仿宋" w:hAnsi="华文仿宋" w:eastAsia="华文仿宋" w:cs="华文仿宋"/>
          <w:b/>
          <w:bCs/>
          <w:color w:val="auto"/>
          <w:sz w:val="32"/>
          <w:szCs w:val="32"/>
          <w:u w:val="none" w:color="auto"/>
          <w:lang w:val="en-US" w:eastAsia="zh-CN"/>
        </w:rPr>
        <w:t>党委和政府</w:t>
      </w:r>
    </w:p>
    <w:p w14:paraId="4E8D9B4D">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验收单位：</w:t>
      </w:r>
      <w:r>
        <w:rPr>
          <w:rFonts w:hint="eastAsia" w:ascii="华文仿宋" w:hAnsi="华文仿宋" w:eastAsia="华文仿宋" w:cs="华文仿宋"/>
          <w:b/>
          <w:bCs/>
          <w:color w:val="auto"/>
          <w:sz w:val="32"/>
          <w:szCs w:val="32"/>
          <w:u w:val="none" w:color="auto"/>
          <w:lang w:val="en-US" w:eastAsia="zh-CN"/>
        </w:rPr>
        <w:t>盟林草局</w:t>
      </w:r>
    </w:p>
    <w:p w14:paraId="6F238BA4">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0"/>
          <w:sz w:val="32"/>
          <w:szCs w:val="32"/>
          <w:u w:val="none" w:color="auto"/>
          <w:lang w:val="en-US" w:eastAsia="zh-CN" w:bidi="ar-SA"/>
        </w:rPr>
      </w:pPr>
      <w:r>
        <w:rPr>
          <w:rFonts w:hint="eastAsia" w:ascii="仿宋_GB2312" w:hAnsi="仿宋_GB2312" w:eastAsia="黑体" w:cs="仿宋_GB2312"/>
          <w:b/>
          <w:bCs/>
          <w:color w:val="auto"/>
          <w:sz w:val="32"/>
          <w:szCs w:val="32"/>
          <w:u w:val="none" w:color="auto"/>
          <w:lang w:val="en-US" w:eastAsia="zh-CN"/>
        </w:rPr>
        <w:t>整改目标：</w:t>
      </w:r>
      <w:r>
        <w:rPr>
          <w:rFonts w:hint="eastAsia" w:ascii="华文仿宋" w:hAnsi="华文仿宋" w:eastAsia="华文仿宋" w:cs="华文仿宋"/>
          <w:b/>
          <w:bCs/>
          <w:color w:val="auto"/>
          <w:kern w:val="0"/>
          <w:sz w:val="32"/>
          <w:szCs w:val="32"/>
          <w:u w:val="none" w:color="auto"/>
          <w:lang w:val="en-US" w:eastAsia="zh-CN" w:bidi="ar-SA"/>
        </w:rPr>
        <w:t>依法查处违规违法占用草原林地行为，对符合条件的5个企业项目于2025年12月底前完成补办林地草原征占用审核手续工作；对16个不符合条件的于2025年12月底前完成恢复植被或地质环境治理工作，2026年10月底前完成验收。</w:t>
      </w:r>
    </w:p>
    <w:p w14:paraId="10AD0A99">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整改时限：</w:t>
      </w:r>
      <w:r>
        <w:rPr>
          <w:rFonts w:hint="eastAsia" w:ascii="华文仿宋" w:hAnsi="华文仿宋" w:eastAsia="华文仿宋" w:cs="华文仿宋"/>
          <w:b/>
          <w:bCs/>
          <w:color w:val="auto"/>
          <w:sz w:val="32"/>
          <w:szCs w:val="32"/>
          <w:u w:val="none" w:color="auto"/>
          <w:lang w:val="en-US" w:eastAsia="zh-CN"/>
        </w:rPr>
        <w:t>2026年12月底</w:t>
      </w:r>
    </w:p>
    <w:p w14:paraId="0754B1C7">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整改措施：</w:t>
      </w:r>
      <w:r>
        <w:rPr>
          <w:rFonts w:hint="eastAsia" w:ascii="华文仿宋" w:hAnsi="华文仿宋" w:eastAsia="华文仿宋" w:cs="华文仿宋"/>
          <w:b/>
          <w:bCs/>
          <w:color w:val="auto"/>
          <w:sz w:val="32"/>
          <w:szCs w:val="32"/>
          <w:u w:val="none" w:color="auto"/>
          <w:lang w:val="en-US" w:eastAsia="zh-CN"/>
        </w:rPr>
        <w:t>（一）对符合条件的企业项目，依法查处违规违法占用林地草原行为，组织项目单位完善组件，严格按规定办理林地草原征占用审核手续。</w:t>
      </w:r>
    </w:p>
    <w:p w14:paraId="24F03ED2">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华文仿宋" w:hAnsi="华文仿宋" w:eastAsia="华文仿宋" w:cs="华文仿宋"/>
          <w:b/>
          <w:bCs/>
          <w:color w:val="auto"/>
          <w:sz w:val="32"/>
          <w:szCs w:val="32"/>
          <w:u w:val="none" w:color="auto"/>
          <w:lang w:val="en-US" w:eastAsia="zh-CN"/>
        </w:rPr>
        <w:t>（二）对不符合条件</w:t>
      </w:r>
      <w:r>
        <w:rPr>
          <w:rFonts w:hint="eastAsia" w:ascii="华文仿宋" w:hAnsi="华文仿宋" w:eastAsia="华文仿宋" w:cs="华文仿宋"/>
          <w:b/>
          <w:bCs/>
          <w:i w:val="0"/>
          <w:iCs w:val="0"/>
          <w:color w:val="auto"/>
          <w:sz w:val="32"/>
          <w:szCs w:val="32"/>
          <w:u w:val="none" w:color="auto"/>
          <w:lang w:val="en-US" w:eastAsia="zh-CN"/>
        </w:rPr>
        <w:t>的企</w:t>
      </w:r>
      <w:r>
        <w:rPr>
          <w:rFonts w:hint="eastAsia" w:ascii="华文仿宋" w:hAnsi="华文仿宋" w:eastAsia="华文仿宋" w:cs="华文仿宋"/>
          <w:b/>
          <w:bCs/>
          <w:color w:val="auto"/>
          <w:sz w:val="32"/>
          <w:szCs w:val="32"/>
          <w:u w:val="none" w:color="auto"/>
          <w:lang w:val="en-US" w:eastAsia="zh-CN"/>
        </w:rPr>
        <w:t>业项目，依法查处违规违法占用林地草原行为，拆除违法建筑物、构筑物并清理现场，制定植被恢复治理方案，完成植被恢复工作。</w:t>
      </w:r>
    </w:p>
    <w:p w14:paraId="3EA1CDB7">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（三）盟旗两级林草主管部门指导执法部门加大执法监管力度，旗县市（区）、苏木乡镇厘清执法职责，依托草原网格员、第三方无人机巡护及自治区下发疑似图斑做好执法监管。</w:t>
      </w:r>
    </w:p>
    <w:p w14:paraId="36C128EE">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楷体" w:hAnsi="华文楷体" w:eastAsia="华文楷体" w:cs="华文楷体"/>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6.苏尼特右旗乌日根塔拉苏木乡镇企业管理站石灰石项目仍有部分未恢复植被。</w:t>
      </w:r>
    </w:p>
    <w:p w14:paraId="48F30FE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0"/>
          <w:sz w:val="32"/>
          <w:szCs w:val="32"/>
          <w:u w:val="none" w:color="auto"/>
          <w:lang w:val="en-US" w:eastAsia="zh-CN" w:bidi="ar-SA"/>
        </w:rPr>
        <w:t>苏尼特右旗党委和政府</w:t>
      </w:r>
    </w:p>
    <w:p w14:paraId="15A784D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0"/>
          <w:sz w:val="32"/>
          <w:szCs w:val="32"/>
          <w:u w:val="none" w:color="auto"/>
          <w:lang w:val="en-US" w:eastAsia="zh-CN" w:bidi="ar-SA"/>
        </w:rPr>
        <w:t>盟林草局</w:t>
      </w:r>
    </w:p>
    <w:p w14:paraId="1F32054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0"/>
          <w:sz w:val="32"/>
          <w:szCs w:val="32"/>
          <w:u w:val="none" w:color="auto"/>
          <w:lang w:val="en-US" w:eastAsia="zh-CN" w:bidi="ar-SA"/>
        </w:rPr>
        <w:t>完成未恢复草地植被恢复工作。</w:t>
      </w:r>
    </w:p>
    <w:p w14:paraId="6AB3348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0"/>
          <w:sz w:val="32"/>
          <w:szCs w:val="32"/>
          <w:u w:val="none" w:color="auto"/>
          <w:lang w:val="en-US" w:eastAsia="zh-CN" w:bidi="ar-SA"/>
        </w:rPr>
        <w:t>2025年10月底</w:t>
      </w:r>
    </w:p>
    <w:p w14:paraId="793DB97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FF0000"/>
          <w:kern w:val="0"/>
          <w:sz w:val="32"/>
          <w:szCs w:val="32"/>
          <w:highlight w:val="none"/>
          <w:u w:val="singl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0"/>
          <w:sz w:val="32"/>
          <w:szCs w:val="32"/>
          <w:highlight w:val="none"/>
          <w:u w:val="none" w:color="auto"/>
          <w:lang w:val="en-US" w:eastAsia="zh-CN" w:bidi="ar-SA"/>
        </w:rPr>
        <w:t>苏尼特右旗政府督促项目单位依法依规拆除违法建筑物、构筑物并清理现场，指导制定植被恢复治理方案，2025年10月底前完成植被恢复工作并通过验收。</w:t>
      </w:r>
    </w:p>
    <w:p w14:paraId="1E00B71A">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7.旅游设施蚕食林草地时有发生，2021年以来，全盟仅查处9起旅游项目违法占用林地草原案件。督察组抽查发现14处旅游点擅自建设旅游服务设施违法占用林草地问题。</w:t>
      </w:r>
    </w:p>
    <w:p w14:paraId="1D3A5780">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eastAsia="zh-CN"/>
        </w:rPr>
      </w:pPr>
      <w:r>
        <w:rPr>
          <w:rFonts w:hint="eastAsia" w:ascii="黑体" w:hAnsi="黑体" w:eastAsia="黑体" w:cs="黑体"/>
          <w:b/>
          <w:bCs/>
          <w:color w:val="auto"/>
          <w:sz w:val="32"/>
          <w:szCs w:val="32"/>
          <w:u w:val="none" w:color="auto"/>
        </w:rPr>
        <w:t>责任单位：</w:t>
      </w:r>
      <w:r>
        <w:rPr>
          <w:rFonts w:hint="eastAsia" w:ascii="华文仿宋" w:hAnsi="华文仿宋" w:eastAsia="华文仿宋" w:cs="华文仿宋"/>
          <w:b/>
          <w:bCs/>
          <w:color w:val="auto"/>
          <w:sz w:val="32"/>
          <w:szCs w:val="32"/>
          <w:u w:val="none" w:color="auto"/>
          <w:lang w:eastAsia="zh-CN"/>
        </w:rPr>
        <w:t>西乌珠穆沁旗、太仆寺旗、镶黄旗、正镶白旗、苏尼特右旗、苏尼特左旗党委和政府</w:t>
      </w:r>
    </w:p>
    <w:p w14:paraId="113C34DD">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default" w:ascii="华文仿宋" w:hAnsi="华文仿宋" w:eastAsia="华文仿宋" w:cs="华文仿宋"/>
          <w:b/>
          <w:bCs/>
          <w:color w:val="auto"/>
          <w:sz w:val="32"/>
          <w:szCs w:val="32"/>
          <w:u w:val="none" w:color="auto"/>
          <w:lang w:val="en-US"/>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sz w:val="32"/>
          <w:szCs w:val="32"/>
          <w:u w:val="none" w:color="auto"/>
          <w:lang w:eastAsia="zh-CN"/>
        </w:rPr>
        <w:t>盟文体旅游广电局、</w:t>
      </w:r>
      <w:r>
        <w:rPr>
          <w:rFonts w:hint="eastAsia" w:ascii="华文仿宋" w:hAnsi="华文仿宋" w:eastAsia="华文仿宋" w:cs="华文仿宋"/>
          <w:b/>
          <w:bCs/>
          <w:color w:val="auto"/>
          <w:sz w:val="32"/>
          <w:szCs w:val="32"/>
          <w:u w:val="none" w:color="auto"/>
          <w:lang w:val="en-US" w:eastAsia="zh-CN"/>
        </w:rPr>
        <w:t>林草局</w:t>
      </w:r>
    </w:p>
    <w:p w14:paraId="7174B8DB">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default"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sz w:val="32"/>
          <w:szCs w:val="32"/>
          <w:u w:val="none" w:color="auto"/>
          <w:lang w:eastAsia="zh-CN"/>
        </w:rPr>
        <w:t>完成</w:t>
      </w:r>
      <w:r>
        <w:rPr>
          <w:rFonts w:hint="eastAsia" w:ascii="华文仿宋" w:hAnsi="华文仿宋" w:eastAsia="华文仿宋" w:cs="华文仿宋"/>
          <w:b/>
          <w:bCs/>
          <w:color w:val="auto"/>
          <w:sz w:val="32"/>
          <w:szCs w:val="32"/>
          <w:u w:val="none" w:color="auto"/>
          <w:lang w:val="en-US" w:eastAsia="zh-CN"/>
        </w:rPr>
        <w:t>14处旅游设施违法占用林草地整改工作。</w:t>
      </w:r>
    </w:p>
    <w:p w14:paraId="6402E65D">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sz w:val="32"/>
          <w:szCs w:val="32"/>
          <w:u w:val="none" w:color="auto"/>
          <w:lang w:val="en-US" w:eastAsia="zh-CN"/>
        </w:rPr>
        <w:t>2025年12月底</w:t>
      </w:r>
    </w:p>
    <w:p w14:paraId="1D0B7933">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sz w:val="32"/>
          <w:szCs w:val="32"/>
          <w:u w:val="none" w:color="auto"/>
          <w:lang w:val="en-US" w:eastAsia="zh-CN"/>
        </w:rPr>
        <w:t>（一）对擅自建设旅游服务设施情形的14处旅游点进行摸排，分类提出整改落实措施。</w:t>
      </w:r>
    </w:p>
    <w:p w14:paraId="4F58C39F">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华文仿宋" w:hAnsi="华文仿宋" w:eastAsia="华文仿宋" w:cs="华文仿宋"/>
          <w:b/>
          <w:bCs/>
          <w:color w:val="auto"/>
          <w:sz w:val="32"/>
          <w:szCs w:val="32"/>
          <w:u w:val="none" w:color="auto"/>
          <w:lang w:val="en-US" w:eastAsia="zh-CN"/>
        </w:rPr>
        <w:t>（二）依法严厉查处违法占用林草地行为，对符合补办林地草原征占用审核手续的旅游服务设施完善组件、依法补办手续，对不符合补办手续条件的旅游设施依法拆除并恢复植被。</w:t>
      </w:r>
    </w:p>
    <w:p w14:paraId="5719D04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contextualSpacing/>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8.正蓝旗3家旅游设施违规占用草地。</w:t>
      </w:r>
    </w:p>
    <w:p w14:paraId="081F69AF">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rPr>
      </w:pPr>
      <w:r>
        <w:rPr>
          <w:rFonts w:hint="eastAsia" w:ascii="仿宋_GB2312" w:hAnsi="仿宋_GB2312" w:eastAsia="黑体" w:cs="仿宋_GB2312"/>
          <w:b/>
          <w:bCs/>
          <w:color w:val="auto"/>
          <w:sz w:val="32"/>
          <w:szCs w:val="32"/>
          <w:u w:val="none" w:color="auto"/>
          <w:lang w:eastAsia="zh-CN"/>
        </w:rPr>
        <w:t>责任单位：</w:t>
      </w:r>
      <w:r>
        <w:rPr>
          <w:rFonts w:hint="eastAsia" w:ascii="华文仿宋" w:hAnsi="华文仿宋" w:eastAsia="华文仿宋" w:cs="华文仿宋"/>
          <w:b/>
          <w:bCs/>
          <w:color w:val="auto"/>
          <w:sz w:val="32"/>
          <w:szCs w:val="32"/>
          <w:u w:val="none" w:color="auto"/>
          <w:lang w:val="en-US" w:eastAsia="zh-CN"/>
        </w:rPr>
        <w:t>正蓝旗党委和政府</w:t>
      </w:r>
    </w:p>
    <w:p w14:paraId="440BD36D">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rPr>
      </w:pPr>
      <w:r>
        <w:rPr>
          <w:rFonts w:hint="eastAsia" w:ascii="仿宋_GB2312" w:hAnsi="仿宋_GB2312" w:eastAsia="黑体" w:cs="仿宋_GB2312"/>
          <w:b/>
          <w:bCs/>
          <w:color w:val="auto"/>
          <w:sz w:val="32"/>
          <w:szCs w:val="32"/>
          <w:u w:val="none" w:color="auto"/>
          <w:lang w:eastAsia="zh-CN"/>
        </w:rPr>
        <w:t>验收单位：</w:t>
      </w:r>
      <w:r>
        <w:rPr>
          <w:rFonts w:hint="eastAsia" w:ascii="华文仿宋" w:hAnsi="华文仿宋" w:eastAsia="华文仿宋" w:cs="华文仿宋"/>
          <w:b/>
          <w:bCs/>
          <w:color w:val="auto"/>
          <w:sz w:val="32"/>
          <w:szCs w:val="32"/>
          <w:u w:val="none" w:color="auto"/>
          <w:lang w:val="en-US" w:eastAsia="zh-CN"/>
        </w:rPr>
        <w:t>盟文体旅游广电局、林草局</w:t>
      </w:r>
    </w:p>
    <w:p w14:paraId="018EC0D6">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eastAsia="zh-CN"/>
        </w:rPr>
      </w:pPr>
      <w:r>
        <w:rPr>
          <w:rFonts w:hint="eastAsia" w:ascii="仿宋_GB2312" w:hAnsi="仿宋_GB2312" w:eastAsia="黑体" w:cs="仿宋_GB2312"/>
          <w:b/>
          <w:bCs/>
          <w:color w:val="auto"/>
          <w:sz w:val="32"/>
          <w:szCs w:val="32"/>
          <w:u w:val="none" w:color="auto"/>
          <w:lang w:eastAsia="zh-CN"/>
        </w:rPr>
        <w:t>整改目标：</w:t>
      </w:r>
      <w:r>
        <w:rPr>
          <w:rFonts w:hint="eastAsia" w:ascii="华文仿宋" w:hAnsi="华文仿宋" w:eastAsia="华文仿宋" w:cs="华文仿宋"/>
          <w:b/>
          <w:bCs/>
          <w:color w:val="auto"/>
          <w:sz w:val="32"/>
          <w:szCs w:val="32"/>
          <w:u w:val="none" w:color="auto"/>
          <w:lang w:val="en-US" w:eastAsia="zh-CN"/>
        </w:rPr>
        <w:t>完善手续或恢复植被。</w:t>
      </w:r>
    </w:p>
    <w:p w14:paraId="4EC51E8E">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eastAsia="zh-CN"/>
        </w:rPr>
      </w:pPr>
      <w:r>
        <w:rPr>
          <w:rFonts w:hint="eastAsia" w:ascii="仿宋_GB2312" w:hAnsi="仿宋_GB2312" w:eastAsia="黑体" w:cs="仿宋_GB2312"/>
          <w:b/>
          <w:bCs/>
          <w:color w:val="auto"/>
          <w:sz w:val="32"/>
          <w:szCs w:val="32"/>
          <w:u w:val="none" w:color="auto"/>
          <w:lang w:eastAsia="zh-CN"/>
        </w:rPr>
        <w:t>整改时限：</w:t>
      </w:r>
      <w:r>
        <w:rPr>
          <w:rFonts w:hint="eastAsia" w:ascii="华文仿宋" w:hAnsi="华文仿宋" w:eastAsia="华文仿宋" w:cs="华文仿宋"/>
          <w:b/>
          <w:bCs/>
          <w:color w:val="auto"/>
          <w:sz w:val="32"/>
          <w:szCs w:val="32"/>
          <w:u w:val="none" w:color="auto"/>
          <w:lang w:val="en-US" w:eastAsia="zh-CN"/>
        </w:rPr>
        <w:t>2026年12月底</w:t>
      </w:r>
    </w:p>
    <w:p w14:paraId="05CD0A8B">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eastAsia="zh-CN"/>
        </w:rPr>
        <w:t>整改措施：</w:t>
      </w:r>
      <w:r>
        <w:rPr>
          <w:rFonts w:hint="eastAsia" w:ascii="华文仿宋" w:hAnsi="华文仿宋" w:eastAsia="华文仿宋" w:cs="华文仿宋"/>
          <w:b/>
          <w:bCs/>
          <w:color w:val="auto"/>
          <w:sz w:val="32"/>
          <w:szCs w:val="32"/>
          <w:u w:val="none" w:color="auto"/>
          <w:lang w:val="en-US" w:eastAsia="zh-CN"/>
        </w:rPr>
        <w:t>（一）依法对旅游设施违规占用草原行为进行查处。</w:t>
      </w:r>
    </w:p>
    <w:p w14:paraId="4B57B2E6">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华文仿宋" w:hAnsi="华文仿宋" w:eastAsia="华文仿宋" w:cs="华文仿宋"/>
          <w:b/>
          <w:bCs/>
          <w:color w:val="auto"/>
          <w:sz w:val="32"/>
          <w:szCs w:val="32"/>
          <w:u w:val="none" w:color="auto"/>
          <w:lang w:val="en-US" w:eastAsia="zh-CN"/>
        </w:rPr>
        <w:t>（二）积极跟踪《黑风河湿地自然保护区优化整合方案》审批进度，待完成《正蓝旗黑风河自治区湿地公园总体规划》、《生态保护红线允许有限人为活动论证报告》编制报批后，依法补办草原征占用审核手续。</w:t>
      </w:r>
    </w:p>
    <w:p w14:paraId="5C4A18C9">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single" w:color="auto"/>
          <w:lang w:val="en-US" w:eastAsia="zh-CN"/>
        </w:rPr>
      </w:pPr>
      <w:r>
        <w:rPr>
          <w:rFonts w:hint="eastAsia" w:ascii="华文仿宋" w:hAnsi="华文仿宋" w:eastAsia="华文仿宋" w:cs="华文仿宋"/>
          <w:b/>
          <w:bCs/>
          <w:color w:val="auto"/>
          <w:sz w:val="32"/>
          <w:szCs w:val="32"/>
          <w:u w:val="none" w:color="auto"/>
          <w:lang w:val="en-US" w:eastAsia="zh-CN"/>
        </w:rPr>
        <w:t>（三）未取得草原征占用手续前暂停营业。</w:t>
      </w:r>
    </w:p>
    <w:p w14:paraId="14061E46">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华文仿宋" w:hAnsi="华文仿宋" w:eastAsia="华文仿宋" w:cs="华文仿宋"/>
          <w:b/>
          <w:bCs/>
          <w:color w:val="auto"/>
          <w:sz w:val="32"/>
          <w:szCs w:val="32"/>
          <w:u w:val="none" w:color="auto"/>
          <w:lang w:val="en-US" w:eastAsia="zh-CN"/>
        </w:rPr>
        <w:t>（四）若到2026年8月底前仍不具备林地草原征占用审核手续补办条件，属地政府依法拆除并恢复植被。</w:t>
      </w:r>
    </w:p>
    <w:p w14:paraId="553031E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contextualSpacing/>
        <w:jc w:val="both"/>
        <w:textAlignment w:val="auto"/>
        <w:outlineLvl w:val="9"/>
        <w:rPr>
          <w:rFonts w:hint="eastAsia" w:ascii="华文楷体" w:hAnsi="华文楷体" w:eastAsia="华文楷体" w:cs="华文楷体"/>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9.非法开垦占用林草地问题屡禁不止，2021年以来，锡林郭勒盟发生11起非法开垦占用草原违法问题。</w:t>
      </w:r>
    </w:p>
    <w:p w14:paraId="770BEB69">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责任单位：</w:t>
      </w:r>
      <w:r>
        <w:rPr>
          <w:rFonts w:hint="eastAsia" w:ascii="华文仿宋" w:hAnsi="华文仿宋" w:eastAsia="华文仿宋" w:cs="华文仿宋"/>
          <w:b/>
          <w:bCs/>
          <w:color w:val="auto"/>
          <w:sz w:val="32"/>
          <w:szCs w:val="32"/>
          <w:u w:val="none" w:color="auto"/>
          <w:lang w:val="en-US" w:eastAsia="zh-CN"/>
        </w:rPr>
        <w:t>苏尼特右旗、乌拉盖管理区党委</w:t>
      </w:r>
      <w:r>
        <w:rPr>
          <w:rFonts w:hint="eastAsia" w:ascii="华文仿宋" w:hAnsi="华文仿宋" w:eastAsia="华文仿宋" w:cs="华文仿宋"/>
          <w:b/>
          <w:bCs/>
          <w:color w:val="auto"/>
          <w:sz w:val="32"/>
          <w:szCs w:val="32"/>
          <w:highlight w:val="none"/>
          <w:u w:val="none" w:color="auto"/>
          <w:lang w:val="en-US" w:eastAsia="zh-CN"/>
        </w:rPr>
        <w:t>（党工委）</w:t>
      </w:r>
      <w:r>
        <w:rPr>
          <w:rFonts w:hint="eastAsia" w:ascii="华文仿宋" w:hAnsi="华文仿宋" w:eastAsia="华文仿宋" w:cs="华文仿宋"/>
          <w:b/>
          <w:bCs/>
          <w:color w:val="auto"/>
          <w:sz w:val="32"/>
          <w:szCs w:val="32"/>
          <w:u w:val="none" w:color="auto"/>
          <w:lang w:val="en-US" w:eastAsia="zh-CN"/>
        </w:rPr>
        <w:t>和政府（管委会）</w:t>
      </w:r>
    </w:p>
    <w:p w14:paraId="1B7BB072">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验收单位：</w:t>
      </w:r>
      <w:r>
        <w:rPr>
          <w:rFonts w:hint="eastAsia" w:ascii="华文仿宋" w:hAnsi="华文仿宋" w:eastAsia="华文仿宋" w:cs="华文仿宋"/>
          <w:b/>
          <w:bCs/>
          <w:color w:val="auto"/>
          <w:sz w:val="32"/>
          <w:szCs w:val="32"/>
          <w:u w:val="none" w:color="auto"/>
          <w:lang w:val="en-US" w:eastAsia="zh-CN"/>
        </w:rPr>
        <w:t>盟林草局</w:t>
      </w:r>
    </w:p>
    <w:p w14:paraId="66C3AAC0">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整改目标：</w:t>
      </w:r>
      <w:r>
        <w:rPr>
          <w:rFonts w:hint="eastAsia" w:ascii="华文仿宋" w:hAnsi="华文仿宋" w:eastAsia="华文仿宋" w:cs="华文仿宋"/>
          <w:b/>
          <w:bCs/>
          <w:color w:val="auto"/>
          <w:sz w:val="32"/>
          <w:szCs w:val="32"/>
          <w:u w:val="none" w:color="auto"/>
          <w:lang w:val="en-US" w:eastAsia="zh-CN"/>
        </w:rPr>
        <w:t>依法查处违规违法开垦草原行为并于2025年12月底前完成整改。</w:t>
      </w:r>
    </w:p>
    <w:p w14:paraId="13843F46">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整改时限：</w:t>
      </w:r>
      <w:r>
        <w:rPr>
          <w:rFonts w:hint="eastAsia" w:ascii="华文仿宋" w:hAnsi="华文仿宋" w:eastAsia="华文仿宋" w:cs="华文仿宋"/>
          <w:b/>
          <w:bCs/>
          <w:color w:val="auto"/>
          <w:sz w:val="32"/>
          <w:szCs w:val="32"/>
          <w:u w:val="none" w:color="auto"/>
          <w:lang w:val="en-US" w:eastAsia="zh-CN"/>
        </w:rPr>
        <w:t>2025年12月底</w:t>
      </w:r>
    </w:p>
    <w:p w14:paraId="26EF1923">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val="en-US" w:eastAsia="zh-CN"/>
        </w:rPr>
        <w:t>整改措施：</w:t>
      </w:r>
      <w:r>
        <w:rPr>
          <w:rFonts w:hint="eastAsia" w:ascii="华文仿宋" w:hAnsi="华文仿宋" w:eastAsia="华文仿宋" w:cs="华文仿宋"/>
          <w:b/>
          <w:bCs/>
          <w:color w:val="auto"/>
          <w:sz w:val="32"/>
          <w:szCs w:val="32"/>
          <w:u w:val="none" w:color="auto"/>
          <w:lang w:val="en-US" w:eastAsia="zh-CN"/>
        </w:rPr>
        <w:t>（一）督促相关部门依法查处违法开垦草原行为，涉嫌犯罪的移交司法机关处理。</w:t>
      </w:r>
    </w:p>
    <w:p w14:paraId="7E894EA5">
      <w:pPr>
        <w:pStyle w:val="9"/>
        <w:keepNext w:val="0"/>
        <w:keepLines w:val="0"/>
        <w:pageBreakBefore w:val="0"/>
        <w:widowControl w:val="0"/>
        <w:numPr>
          <w:ilvl w:val="0"/>
          <w:numId w:val="0"/>
        </w:numPr>
        <w:kinsoku/>
        <w:wordWrap/>
        <w:overflowPunct/>
        <w:topLinePunct w:val="0"/>
        <w:bidi w:val="0"/>
        <w:adjustRightInd w:val="0"/>
        <w:snapToGrid w:val="0"/>
        <w:spacing w:line="600" w:lineRule="exact"/>
        <w:ind w:left="0" w:leftChars="0" w:firstLine="643" w:firstLineChars="200"/>
        <w:jc w:val="both"/>
        <w:textAlignment w:val="auto"/>
        <w:rPr>
          <w:rFonts w:hint="default" w:ascii="仿宋_GB2312" w:hAnsi="仿宋_GB2312" w:eastAsia="仿宋_GB2312" w:cs="仿宋_GB2312"/>
          <w:b/>
          <w:bCs/>
          <w:color w:val="auto"/>
          <w:sz w:val="32"/>
          <w:szCs w:val="32"/>
          <w:u w:val="none" w:color="auto"/>
          <w:lang w:val="en-US" w:eastAsia="zh-CN"/>
        </w:rPr>
      </w:pPr>
      <w:r>
        <w:rPr>
          <w:rFonts w:hint="eastAsia" w:ascii="华文仿宋" w:hAnsi="华文仿宋" w:eastAsia="华文仿宋" w:cs="华文仿宋"/>
          <w:b/>
          <w:bCs/>
          <w:color w:val="auto"/>
          <w:sz w:val="32"/>
          <w:szCs w:val="32"/>
          <w:u w:val="none" w:color="auto"/>
          <w:lang w:val="en-US" w:eastAsia="zh-CN"/>
        </w:rPr>
        <w:t>（二）对涉及耕地保护红线的地块，严格落实耕地保护管理措施；对不涉及耕地保护红线的地块，组织责任主体制定恢复治理方案，2025年12月底前完成恢复治理验收。</w:t>
      </w:r>
    </w:p>
    <w:p w14:paraId="72B171DE">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黑体" w:hAnsi="黑体" w:eastAsia="黑体" w:cs="黑体"/>
          <w:b/>
          <w:bCs/>
          <w:color w:val="auto"/>
          <w:sz w:val="32"/>
          <w:szCs w:val="32"/>
          <w:highlight w:val="none"/>
          <w:u w:val="none" w:color="auto"/>
          <w:lang w:val="en-US" w:eastAsia="zh-CN"/>
        </w:rPr>
      </w:pPr>
      <w:r>
        <w:rPr>
          <w:rFonts w:hint="eastAsia" w:ascii="黑体" w:hAnsi="黑体" w:eastAsia="黑体" w:cs="黑体"/>
          <w:b/>
          <w:bCs/>
          <w:color w:val="auto"/>
          <w:sz w:val="32"/>
          <w:szCs w:val="32"/>
          <w:highlight w:val="none"/>
          <w:u w:val="none" w:color="auto"/>
          <w:lang w:val="en-US" w:eastAsia="zh-CN"/>
        </w:rPr>
        <w:t>六、矿山管理仍存漏洞</w:t>
      </w:r>
    </w:p>
    <w:p w14:paraId="634A9F9E">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10.矿山治理修复方案编制不及时，《矿山地质环境保护规定》明确要求，采矿权人应当依照规定编制矿山地质环境保护与土地复垦方案，报原采矿许可证审批机关批准。督察发现，东乌珠穆沁旗5家矿山地质环境保护与土地复垦方案过期后未及时修编；镶黄旗8家矿山未编制矿山地质环境保护与土地复垦方案。</w:t>
      </w:r>
    </w:p>
    <w:p w14:paraId="6533606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各旗县市（区）党委（党工委）和政府（管委会）</w:t>
      </w:r>
    </w:p>
    <w:p w14:paraId="6BA4CAF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sz w:val="32"/>
          <w:szCs w:val="32"/>
          <w:highlight w:val="none"/>
          <w:u w:val="none" w:color="auto"/>
          <w:lang w:val="en-US" w:eastAsia="zh-CN"/>
        </w:rPr>
        <w:t>盟自然资源局</w:t>
      </w:r>
    </w:p>
    <w:p w14:paraId="1BF0ABB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sz w:val="32"/>
          <w:szCs w:val="32"/>
          <w:highlight w:val="none"/>
          <w:u w:val="none" w:color="auto"/>
          <w:lang w:val="en-US" w:eastAsia="zh-CN"/>
        </w:rPr>
        <w:t>对关闭退出矿山2026年6月底前完成地质环境治理并验收，在期矿山企业2025年12月底前编制完成《矿山地质环境保护与土地复垦方案》并通过评审。</w:t>
      </w:r>
    </w:p>
    <w:p w14:paraId="5661733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yellow"/>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sz w:val="32"/>
          <w:szCs w:val="32"/>
          <w:highlight w:val="none"/>
          <w:u w:val="none" w:color="auto"/>
          <w:lang w:val="en-US" w:eastAsia="zh-CN"/>
        </w:rPr>
        <w:t>2026年6月底</w:t>
      </w:r>
    </w:p>
    <w:p w14:paraId="2A6B99A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sz w:val="32"/>
          <w:szCs w:val="32"/>
          <w:highlight w:val="none"/>
          <w:u w:val="none" w:color="auto"/>
          <w:lang w:val="en-US" w:eastAsia="zh-CN"/>
        </w:rPr>
        <w:t>（一）对已完成闭坑治理的3家矿山企业，盟自然资源局于2025年12月底前组织专家完成闭坑验收工作。</w:t>
      </w:r>
    </w:p>
    <w:p w14:paraId="407E03D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（二）对正在开展闭坑治理的企业，属地政府加快推进代履行立项程序，完成矿山地质环境治理工作，按程序组织验收。</w:t>
      </w:r>
    </w:p>
    <w:p w14:paraId="79566B56">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（三）对其余9家在期矿山企业，2025年12月底前编制完成《矿山地质环境保护与土地复垦方案》，经盟自然资源局组织专家评审后，分年度做好矿山地质环境治理工作。</w:t>
      </w:r>
    </w:p>
    <w:p w14:paraId="7CF0BE85">
      <w:pPr>
        <w:pStyle w:val="6"/>
        <w:keepNext w:val="0"/>
        <w:keepLines w:val="0"/>
        <w:pageBreakBefore w:val="0"/>
        <w:widowControl w:val="0"/>
        <w:kinsoku/>
        <w:wordWrap/>
        <w:overflowPunct/>
        <w:topLinePunct w:val="0"/>
        <w:autoSpaceDE/>
        <w:autoSpaceDN/>
        <w:bidi w:val="0"/>
        <w:snapToGrid w:val="0"/>
        <w:spacing w:after="0" w:line="600" w:lineRule="exact"/>
        <w:ind w:left="0" w:leftChars="0" w:firstLine="643" w:firstLineChars="200"/>
        <w:jc w:val="both"/>
        <w:textAlignment w:val="auto"/>
        <w:rPr>
          <w:rFonts w:hint="default"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（四）各旗县市（区）要举一反三，全面排查是否存在未编制方案和方案过期未及时修编的情况，建立整改台账，限期完成方案编制。</w:t>
      </w:r>
    </w:p>
    <w:p w14:paraId="2EFE9E66">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11.采空区生态修复治理不到位，“边开采、边治理”落实不到位，9家井工矿采空区生态修复治理不及时，塌陷区面积合计130.5亩，仍未开展生态修复治理。</w:t>
      </w:r>
    </w:p>
    <w:p w14:paraId="1E075F1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各旗县市（区）党委（党工委）和政府（管委会）</w:t>
      </w:r>
    </w:p>
    <w:p w14:paraId="2913271D">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sz w:val="32"/>
          <w:szCs w:val="32"/>
          <w:highlight w:val="none"/>
          <w:u w:val="none" w:color="auto"/>
          <w:lang w:val="en-US" w:eastAsia="zh-CN"/>
        </w:rPr>
        <w:t>盟自然资源局、应急管理局</w:t>
      </w:r>
    </w:p>
    <w:p w14:paraId="5C237ED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sz w:val="32"/>
          <w:szCs w:val="32"/>
          <w:highlight w:val="none"/>
          <w:u w:val="none" w:color="auto"/>
          <w:lang w:val="en-US" w:eastAsia="zh-CN"/>
        </w:rPr>
        <w:t>完成9家井工矿现场核查，按需开展采空区治理和塌陷区地表修复。</w:t>
      </w:r>
    </w:p>
    <w:p w14:paraId="57CC4DAC">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sz w:val="32"/>
          <w:szCs w:val="32"/>
          <w:highlight w:val="none"/>
          <w:u w:val="none" w:color="auto"/>
          <w:lang w:val="en-US" w:eastAsia="zh-CN"/>
        </w:rPr>
        <w:t>2026年12月底</w:t>
      </w:r>
    </w:p>
    <w:p w14:paraId="2F8CEF0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sz w:val="32"/>
          <w:szCs w:val="32"/>
          <w:highlight w:val="none"/>
          <w:u w:val="none" w:color="auto"/>
          <w:lang w:val="en-US" w:eastAsia="zh-CN"/>
        </w:rPr>
        <w:t>（一）督促9家井工矿企业在2025年6月底前完成现场核验，8月底前分类制定生态修复治理方案，按方案开展修复治理。</w:t>
      </w:r>
    </w:p>
    <w:p w14:paraId="46F36EF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（二）对暂不具备治理条件的矿山，落实好安全防范和生态保护措施，最大限度减少对生态环境的影响。</w:t>
      </w:r>
    </w:p>
    <w:p w14:paraId="25BC2002">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（三）各旗县市（区）要举一反三，全面排查采空区生态修复治理，建立整改台账，限期完成治理。</w:t>
      </w:r>
    </w:p>
    <w:p w14:paraId="06C1050C">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12.镶黄旗、正镶白旗5家停产矿山应于2023年底前完成治理面积合计1075.3亩，截至督察进驻，部分面积未治理。</w:t>
      </w:r>
    </w:p>
    <w:p w14:paraId="0D2FB80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镶黄旗、正镶白旗党委和政府</w:t>
      </w:r>
    </w:p>
    <w:p w14:paraId="6969D25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sz w:val="32"/>
          <w:szCs w:val="32"/>
          <w:highlight w:val="none"/>
          <w:u w:val="none" w:color="auto"/>
          <w:lang w:val="en-US" w:eastAsia="zh-CN"/>
        </w:rPr>
        <w:t>盟自然资源局、林草局</w:t>
      </w:r>
    </w:p>
    <w:p w14:paraId="51EBB5F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sz w:val="32"/>
          <w:szCs w:val="32"/>
          <w:highlight w:val="none"/>
          <w:u w:val="none" w:color="auto"/>
          <w:lang w:val="en-US" w:eastAsia="zh-CN"/>
        </w:rPr>
        <w:t>完成剩余治理任务。</w:t>
      </w:r>
    </w:p>
    <w:p w14:paraId="6CD057D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sz w:val="32"/>
          <w:szCs w:val="32"/>
          <w:highlight w:val="none"/>
          <w:u w:val="none" w:color="auto"/>
          <w:lang w:val="en-US" w:eastAsia="zh-CN"/>
        </w:rPr>
        <w:t>2025年11月底</w:t>
      </w:r>
    </w:p>
    <w:p w14:paraId="4CD4AAA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sz w:val="32"/>
          <w:szCs w:val="32"/>
          <w:highlight w:val="none"/>
          <w:u w:val="none" w:color="auto"/>
          <w:lang w:val="en-US" w:eastAsia="zh-CN"/>
        </w:rPr>
        <w:t>（一）督促5家矿山企业坚持“一矿一方案”，2025年10月底前完成剩余未治理面积治理工作。</w:t>
      </w:r>
    </w:p>
    <w:p w14:paraId="334EE456">
      <w:pPr>
        <w:keepNext w:val="0"/>
        <w:keepLines w:val="0"/>
        <w:pageBreakBefore w:val="0"/>
        <w:widowControl w:val="0"/>
        <w:numPr>
          <w:ilvl w:val="0"/>
          <w:numId w:val="1"/>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坚持治理一处、验收一处，对完成治理的矿山企业，盟自然资源局会同盟林草局及时组织验收，不达标的矿山企业限期改进达标。</w:t>
      </w:r>
    </w:p>
    <w:p w14:paraId="74E4E21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3" w:firstLineChars="200"/>
        <w:jc w:val="both"/>
        <w:textAlignment w:val="auto"/>
        <w:outlineLvl w:val="9"/>
        <w:rPr>
          <w:rFonts w:hint="eastAsia" w:ascii="华文楷体" w:hAnsi="华文楷体" w:eastAsia="华文楷体" w:cs="华文楷体"/>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（三）盟旗两级自然资源部门要严格按照“停产不停治”的原则对企业制定的年度治理任务加强监管力度，按月调度进展，逐级上报，按时完成年度地质环境治理工作。</w:t>
      </w:r>
    </w:p>
    <w:p w14:paraId="19C73C8C">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黑体" w:hAnsi="黑体" w:eastAsia="黑体" w:cs="黑体"/>
          <w:b/>
          <w:bCs/>
          <w:color w:val="auto"/>
          <w:sz w:val="32"/>
          <w:szCs w:val="32"/>
          <w:highlight w:val="none"/>
          <w:u w:val="none" w:color="auto"/>
          <w:lang w:val="en-US" w:eastAsia="zh-CN"/>
        </w:rPr>
      </w:pPr>
      <w:r>
        <w:rPr>
          <w:rFonts w:hint="eastAsia" w:ascii="黑体" w:hAnsi="黑体" w:eastAsia="黑体" w:cs="黑体"/>
          <w:b/>
          <w:bCs/>
          <w:color w:val="auto"/>
          <w:sz w:val="32"/>
          <w:szCs w:val="32"/>
          <w:highlight w:val="none"/>
          <w:u w:val="none" w:color="auto"/>
          <w:lang w:val="en-US" w:eastAsia="zh-CN"/>
        </w:rPr>
        <w:t>七、矿山关闭退出注销程序履行不严格</w:t>
      </w:r>
    </w:p>
    <w:p w14:paraId="595B987B">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13.《矿山地质环境保护规定》明确要求，矿山关闭前，采矿权人应当完成矿山地质环境保护与土地复垦义务。采矿权人在申请办理闭坑手续时，应当经自然资源主管部门验收合格，并提交验收合格文件。督察发现，西乌珠穆沁旗自然资源部门在2家企业完成闭坑治理工作未验收的情况下分别于2020年、2024年对2家企业采矿权进行注销。</w:t>
      </w:r>
    </w:p>
    <w:p w14:paraId="4CE3D98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yellow"/>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各旗县市（区）党委（党工委）和政府（管委会）</w:t>
      </w:r>
    </w:p>
    <w:p w14:paraId="10B1EC0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sz w:val="32"/>
          <w:szCs w:val="32"/>
          <w:highlight w:val="none"/>
          <w:u w:val="none" w:color="auto"/>
          <w:lang w:val="en-US" w:eastAsia="zh-CN"/>
        </w:rPr>
        <w:t>盟自然资源局</w:t>
      </w:r>
    </w:p>
    <w:p w14:paraId="6B413F8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sz w:val="32"/>
          <w:szCs w:val="32"/>
          <w:highlight w:val="none"/>
          <w:u w:val="none" w:color="auto"/>
          <w:lang w:val="en-US" w:eastAsia="zh-CN"/>
        </w:rPr>
        <w:t>完成2家矿山企业闭坑治理验收并在全盟范围举一反三排查整治。</w:t>
      </w:r>
    </w:p>
    <w:p w14:paraId="7E53A63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sz w:val="32"/>
          <w:szCs w:val="32"/>
          <w:highlight w:val="none"/>
          <w:u w:val="none" w:color="auto"/>
          <w:lang w:val="en-US" w:eastAsia="zh-CN"/>
        </w:rPr>
        <w:t>2025年9月底</w:t>
      </w:r>
    </w:p>
    <w:p w14:paraId="77664A92">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sz w:val="32"/>
          <w:szCs w:val="32"/>
          <w:highlight w:val="none"/>
          <w:u w:val="none" w:color="auto"/>
          <w:lang w:val="en-US" w:eastAsia="zh-CN"/>
        </w:rPr>
        <w:t>（一）督促2家矿山企业按照闭坑治理方案设计加快治理并通过初步验收后，盟自然资源局组织终验，不达标的矿山企业限期改进达标。</w:t>
      </w:r>
    </w:p>
    <w:p w14:paraId="400F610E">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（二）各旗县市（区）要举一反三，全面排查未经主管部门闭坑治理验收的情况下对采矿权进行注销的企业，建立整改台账，限期完成治理和验收工作。</w:t>
      </w:r>
    </w:p>
    <w:p w14:paraId="38C3A8BD">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14.历史遗留无主废弃采坑排查不彻底，督察发现，多伦县、苏尼特右旗等无主采坑共346.7亩未列入锡林郭勒盟历史遗留无主废弃采坑地质环境治理排查清单。</w:t>
      </w:r>
    </w:p>
    <w:p w14:paraId="07B431EC">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各旗县市（区）党委（党工委）和政府（管委会）</w:t>
      </w:r>
    </w:p>
    <w:p w14:paraId="76AF8E4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sz w:val="32"/>
          <w:szCs w:val="32"/>
          <w:highlight w:val="none"/>
          <w:u w:val="none" w:color="auto"/>
          <w:lang w:val="en-US" w:eastAsia="zh-CN"/>
        </w:rPr>
        <w:t>盟自然资源局</w:t>
      </w:r>
    </w:p>
    <w:p w14:paraId="0ED07DE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sz w:val="32"/>
          <w:szCs w:val="32"/>
          <w:highlight w:val="none"/>
          <w:u w:val="none" w:color="auto"/>
          <w:lang w:val="en-US" w:eastAsia="zh-CN"/>
        </w:rPr>
        <w:t>完成3处采坑治理验收。</w:t>
      </w:r>
    </w:p>
    <w:p w14:paraId="297887C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sz w:val="32"/>
          <w:szCs w:val="32"/>
          <w:highlight w:val="none"/>
          <w:u w:val="none" w:color="auto"/>
          <w:lang w:val="en-US" w:eastAsia="zh-CN"/>
        </w:rPr>
        <w:t>2026年12月底</w:t>
      </w:r>
    </w:p>
    <w:p w14:paraId="2BF587F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sz w:val="32"/>
          <w:szCs w:val="32"/>
          <w:highlight w:val="none"/>
          <w:u w:val="none" w:color="auto"/>
          <w:lang w:val="en-US" w:eastAsia="zh-CN"/>
        </w:rPr>
        <w:t>（一）分类推进治理，将采坑纳入治理项目库，2025年12月底前完成总工程量的70%，2026年12月底前完成治理验收并销号。</w:t>
      </w:r>
    </w:p>
    <w:p w14:paraId="552E32B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default"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（二）各旗县市（区）要举一反三，全面排查本地区历史遗留无主废弃采坑并列入旗级历史遗留无主废弃采坑地质环境治理排查清单，限期完成治理。</w:t>
      </w:r>
    </w:p>
    <w:p w14:paraId="1547D2D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default"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（三）盟自然资源局做好指导调度，待完成治理后，严格按标准组织验收。</w:t>
      </w:r>
    </w:p>
    <w:p w14:paraId="12D0839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黑体" w:hAnsi="黑体" w:eastAsia="黑体" w:cs="黑体"/>
          <w:b/>
          <w:bCs/>
          <w:color w:val="auto"/>
          <w:sz w:val="32"/>
          <w:szCs w:val="32"/>
          <w:highlight w:val="none"/>
          <w:u w:val="none" w:color="auto"/>
          <w:lang w:val="en-US" w:eastAsia="zh-CN"/>
        </w:rPr>
      </w:pPr>
      <w:r>
        <w:rPr>
          <w:rFonts w:hint="eastAsia" w:ascii="黑体" w:hAnsi="黑体" w:eastAsia="黑体" w:cs="黑体"/>
          <w:b/>
          <w:bCs/>
          <w:color w:val="auto"/>
          <w:sz w:val="32"/>
          <w:szCs w:val="32"/>
          <w:highlight w:val="none"/>
          <w:u w:val="none" w:color="auto"/>
          <w:lang w:val="en-US" w:eastAsia="zh-CN"/>
        </w:rPr>
        <w:t>八、水资源刚性约束不足</w:t>
      </w:r>
    </w:p>
    <w:p w14:paraId="7900BCC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15.违规取水问题仍然存在，锡林浩特市1家企业2024年4月取水许可证到期后，在延续手续未获审批情况下违规取水32.5万立方米；西乌珠穆沁旗1家企业2023年超许可取水18.49万立方米。</w:t>
      </w:r>
    </w:p>
    <w:p w14:paraId="2E43395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锡林浩特市、西乌珠穆沁旗党委和政府</w:t>
      </w:r>
    </w:p>
    <w:p w14:paraId="4C5513C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sz w:val="32"/>
          <w:szCs w:val="32"/>
          <w:highlight w:val="none"/>
          <w:u w:val="none" w:color="auto"/>
          <w:lang w:val="en-US" w:eastAsia="zh-CN"/>
        </w:rPr>
        <w:t>盟水利局</w:t>
      </w:r>
    </w:p>
    <w:p w14:paraId="5A7463C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sz w:val="32"/>
          <w:szCs w:val="32"/>
          <w:highlight w:val="none"/>
          <w:u w:val="none" w:color="auto"/>
          <w:lang w:val="en-US" w:eastAsia="zh-CN"/>
        </w:rPr>
        <w:t>完善取用水手续，规范取用水行为。</w:t>
      </w:r>
    </w:p>
    <w:p w14:paraId="08B75C1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sz w:val="32"/>
          <w:szCs w:val="32"/>
          <w:highlight w:val="none"/>
          <w:u w:val="none" w:color="auto"/>
          <w:lang w:val="en-US" w:eastAsia="zh-CN"/>
        </w:rPr>
        <w:t>2025年9月底</w:t>
      </w:r>
    </w:p>
    <w:p w14:paraId="6D32FA1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sz w:val="32"/>
          <w:szCs w:val="32"/>
          <w:highlight w:val="none"/>
          <w:u w:val="none" w:color="auto"/>
          <w:lang w:val="en-US" w:eastAsia="zh-CN"/>
        </w:rPr>
        <w:t>（一）西乌珠穆沁旗政府依法对企业超许可取用水行为作出行政处罚，并加强对其取用水监管，确保合理用水。</w:t>
      </w:r>
    </w:p>
    <w:p w14:paraId="56CD824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Times New Roman" w:eastAsia="仿宋_GB2312" w:cs="Times New Roman"/>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（二）督促锡林浩特市违规取水企业2025年9月底前实现计量设施在线监测，及时申领取水许可证，确保按期整改到位。</w:t>
      </w:r>
    </w:p>
    <w:p w14:paraId="5B60BFD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16.水资源管理不到位，自治区水利厅《关于进一步加强水资源管理强化水资源刚性约束工作的指导意见》要求，“工业生产项目由集中供水工程（含自来水供水工程、水库等）供水的，也应当履行取水许可手续，并申领取水许可证”。督察发现，锡林郭勒盟水利部门未落实自治区指导意见有关要求，由自来水供水工程供水的工业生产项目中，仅有1家企业办理取水许可证。</w:t>
      </w:r>
    </w:p>
    <w:p w14:paraId="2C299D7D">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各旗县市（区）党委（党工委）和政府（管委会）</w:t>
      </w:r>
    </w:p>
    <w:p w14:paraId="4268B76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sz w:val="32"/>
          <w:szCs w:val="32"/>
          <w:highlight w:val="none"/>
          <w:u w:val="none" w:color="auto"/>
          <w:lang w:val="en-US" w:eastAsia="zh-CN"/>
        </w:rPr>
        <w:t>盟水利局</w:t>
      </w:r>
    </w:p>
    <w:p w14:paraId="3C84561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sz w:val="32"/>
          <w:szCs w:val="32"/>
          <w:highlight w:val="none"/>
          <w:u w:val="none" w:color="auto"/>
          <w:lang w:val="en-US" w:eastAsia="zh-CN"/>
        </w:rPr>
        <w:t>加强水资源监管，规范取用水行为。</w:t>
      </w:r>
    </w:p>
    <w:p w14:paraId="02F1F39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sz w:val="32"/>
          <w:szCs w:val="32"/>
          <w:highlight w:val="none"/>
          <w:u w:val="none" w:color="auto"/>
          <w:lang w:val="en-US" w:eastAsia="zh-CN"/>
        </w:rPr>
        <w:t>2025年12月底</w:t>
      </w:r>
    </w:p>
    <w:p w14:paraId="21169C7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sz w:val="32"/>
          <w:szCs w:val="32"/>
          <w:highlight w:val="none"/>
          <w:u w:val="none" w:color="auto"/>
          <w:lang w:val="en-US" w:eastAsia="zh-CN"/>
        </w:rPr>
        <w:t>组织各旗县市（区）开展以集中供水工程供水的工业生产项目排查工作，对未办理取水许可证的用水企业，尽快组织完善取水许可手续或明晰用水凭证。</w:t>
      </w:r>
    </w:p>
    <w:p w14:paraId="3E36563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华文楷体" w:hAnsi="华文楷体" w:eastAsia="华文楷体" w:cs="华文楷体"/>
          <w:b/>
          <w:bCs/>
          <w:color w:val="auto"/>
          <w:sz w:val="32"/>
          <w:szCs w:val="32"/>
          <w:highlight w:val="none"/>
          <w:lang w:val="en-US" w:eastAsia="zh-CN"/>
        </w:rPr>
      </w:pPr>
      <w:r>
        <w:rPr>
          <w:rFonts w:hint="eastAsia" w:ascii="华文楷体" w:hAnsi="华文楷体" w:eastAsia="华文楷体" w:cs="华文楷体"/>
          <w:b/>
          <w:bCs/>
          <w:color w:val="auto"/>
          <w:sz w:val="32"/>
          <w:szCs w:val="32"/>
          <w:highlight w:val="none"/>
          <w:lang w:val="en-US" w:eastAsia="zh-CN"/>
        </w:rPr>
        <w:t>第三方面，污染防治攻坚仍有薄弱环节</w:t>
      </w:r>
    </w:p>
    <w:p w14:paraId="23535F9E">
      <w:pPr>
        <w:pStyle w:val="2"/>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3" w:firstLineChars="200"/>
        <w:jc w:val="both"/>
        <w:textAlignment w:val="auto"/>
        <w:rPr>
          <w:rFonts w:hint="eastAsia" w:ascii="黑体" w:hAnsi="黑体" w:eastAsia="黑体" w:cs="黑体"/>
          <w:b/>
          <w:bCs/>
          <w:color w:val="auto"/>
          <w:kern w:val="2"/>
          <w:sz w:val="32"/>
          <w:szCs w:val="32"/>
          <w:highlight w:val="none"/>
          <w:u w:val="none" w:color="auto"/>
          <w:lang w:val="en-US" w:eastAsia="zh-CN" w:bidi="ar-SA"/>
        </w:rPr>
      </w:pPr>
      <w:r>
        <w:rPr>
          <w:rFonts w:hint="eastAsia" w:ascii="黑体" w:hAnsi="黑体" w:eastAsia="黑体" w:cs="黑体"/>
          <w:b/>
          <w:bCs/>
          <w:color w:val="auto"/>
          <w:kern w:val="2"/>
          <w:sz w:val="32"/>
          <w:szCs w:val="32"/>
          <w:highlight w:val="none"/>
          <w:u w:val="none" w:color="auto"/>
          <w:lang w:val="en-US" w:eastAsia="zh-CN" w:bidi="ar-SA"/>
        </w:rPr>
        <w:t>九、大气污染防治仍有短板</w:t>
      </w:r>
    </w:p>
    <w:p w14:paraId="5AA5A97E">
      <w:pPr>
        <w:pStyle w:val="2"/>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3" w:firstLineChars="200"/>
        <w:jc w:val="both"/>
        <w:textAlignment w:val="auto"/>
        <w:rPr>
          <w:rFonts w:hint="eastAsia" w:ascii="仿宋_GB2312" w:hAnsi="仿宋_GB2312" w:eastAsia="仿宋_GB2312" w:cs="仿宋_GB2312"/>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17.大气重点监管单位在线监控设施长期未验收，抽查发现，正镶白旗两家企业废气在线监测设施未验收，其中苏尼特右旗1家企业2021年安装后一直未验收。</w:t>
      </w:r>
    </w:p>
    <w:p w14:paraId="7F2BD4A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各旗县市（区）党委（党工委）和政府（管委会）</w:t>
      </w:r>
    </w:p>
    <w:p w14:paraId="72A6536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sz w:val="32"/>
          <w:szCs w:val="32"/>
          <w:highlight w:val="none"/>
          <w:u w:val="none" w:color="auto"/>
          <w:lang w:val="en-US" w:eastAsia="zh-CN"/>
        </w:rPr>
        <w:t>盟生态环境局</w:t>
      </w:r>
    </w:p>
    <w:p w14:paraId="6C2A86A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FF0000"/>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sz w:val="32"/>
          <w:szCs w:val="32"/>
          <w:highlight w:val="none"/>
          <w:u w:val="none" w:color="auto"/>
          <w:lang w:val="en-US" w:eastAsia="zh-CN"/>
        </w:rPr>
        <w:t>完成2家企业在线监测设施验收并做好使用管理。</w:t>
      </w:r>
    </w:p>
    <w:p w14:paraId="78A204A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仿宋_GB2312" w:eastAsia="仿宋_GB2312" w:cs="仿宋_GB2312"/>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sz w:val="32"/>
          <w:szCs w:val="32"/>
          <w:highlight w:val="none"/>
          <w:u w:val="none" w:color="auto"/>
          <w:lang w:val="en-US" w:eastAsia="zh-CN"/>
        </w:rPr>
        <w:t>2025年4月底</w:t>
      </w:r>
    </w:p>
    <w:p w14:paraId="3D9CD55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sz w:val="32"/>
          <w:szCs w:val="32"/>
          <w:highlight w:val="none"/>
          <w:u w:val="none" w:color="auto"/>
          <w:lang w:val="en-US" w:eastAsia="zh-CN"/>
        </w:rPr>
        <w:t>（一）组织2家企业严格按照《固定污染源烟气（SO₂、NOx、颗粒物）排放连续监测技术规范》（HJ/75—2017）要求，安装自动监测设备并完成联网、调试工作。</w:t>
      </w:r>
    </w:p>
    <w:p w14:paraId="6B44E36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（二）督促管理单位按照有关技术标准规范组织验收达标后，由盟生态环境监控中心审核后备案。</w:t>
      </w:r>
    </w:p>
    <w:p w14:paraId="5156A51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sz w:val="32"/>
          <w:szCs w:val="32"/>
          <w:highlight w:val="none"/>
          <w:u w:val="none" w:color="auto"/>
          <w:lang w:val="en-US" w:eastAsia="zh-CN"/>
        </w:rPr>
        <w:t>（三）督促2家企业做好在线监测设施运行管理，有效发挥废气监测管理效果。</w:t>
      </w:r>
    </w:p>
    <w:p w14:paraId="511E42CC">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（四）全面开展涉气企业在线监控设备联网运行现场帮扶，保证设备稳定运行，防止因在线监测设备故障导致污染物超标问题。</w:t>
      </w:r>
    </w:p>
    <w:p w14:paraId="48796264">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18.污染防治设施建设维护不到位，二连浩特市1企业烟道破损，烟气收集不到位，部分未处理烟气直排。</w:t>
      </w:r>
    </w:p>
    <w:p w14:paraId="3702734E">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Times New Roman" w:eastAsia="仿宋_GB2312" w:cs="Times New Roman"/>
          <w:b/>
          <w:bCs/>
          <w:color w:val="auto"/>
          <w:sz w:val="32"/>
          <w:szCs w:val="32"/>
          <w:highlight w:val="green"/>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各旗县市（区）党委（党工委）和政府（管委会）</w:t>
      </w:r>
    </w:p>
    <w:p w14:paraId="4DFF2D3B">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盟生态环境局、住建局</w:t>
      </w:r>
    </w:p>
    <w:p w14:paraId="2EBD6D81">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完善企业烟气收集处理设施并稳定运行。</w:t>
      </w:r>
    </w:p>
    <w:p w14:paraId="1F0C0F78">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2025年6月底</w:t>
      </w:r>
    </w:p>
    <w:p w14:paraId="260545C5">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（一）督促企业全面排查烟道破损情况，尽快制定修复计划并完成修缮工作。</w:t>
      </w:r>
    </w:p>
    <w:p w14:paraId="5FADEDF0">
      <w:pPr>
        <w:pStyle w:val="2"/>
        <w:keepNext w:val="0"/>
        <w:keepLines w:val="0"/>
        <w:pageBreakBefore w:val="0"/>
        <w:widowControl w:val="0"/>
        <w:numPr>
          <w:ilvl w:val="0"/>
          <w:numId w:val="2"/>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督促企业对现有烟气收集系统进行全面评估，分析烟气跑冒滴漏原因，做好日常管理维护，严防烟气直排现象再次发生。</w:t>
      </w:r>
    </w:p>
    <w:p w14:paraId="5958A48E">
      <w:pPr>
        <w:pStyle w:val="2"/>
        <w:keepNext w:val="0"/>
        <w:keepLines w:val="0"/>
        <w:pageBreakBefore w:val="0"/>
        <w:widowControl w:val="0"/>
        <w:numPr>
          <w:ilvl w:val="0"/>
          <w:numId w:val="2"/>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举一反三全面开展污染防治设施隐患排查整治工作，建立健全污染防治设施维护管理制度，依法依规查处企业大气污染物违规排放行为。</w:t>
      </w:r>
    </w:p>
    <w:p w14:paraId="1656408C">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19.扬尘污染防治不到位，督察组抽查发现，9家企业粉状物料露天堆放，扬尘污染严重，其中，多伦县一家企业约有2700平方米沙土未苫盖；太仆寺旗1家企业露天堆放易产扬尘的细沙石料、沙土约700平方米左右。</w:t>
      </w:r>
    </w:p>
    <w:p w14:paraId="5AD967C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green"/>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sz w:val="32"/>
          <w:szCs w:val="32"/>
          <w:highlight w:val="none"/>
          <w:u w:val="none" w:color="auto"/>
          <w:lang w:val="en-US" w:eastAsia="zh-CN"/>
        </w:rPr>
        <w:t>各旗县市（区）党委（党工委）和政府（管委会）</w:t>
      </w:r>
    </w:p>
    <w:p w14:paraId="4ED8421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盟生态环境局</w:t>
      </w:r>
    </w:p>
    <w:p w14:paraId="7CD0322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FF0000"/>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完成相关企业粉状物料清理封闭并做好日常监管。</w:t>
      </w:r>
    </w:p>
    <w:p w14:paraId="7128021C">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2025年12月底</w:t>
      </w:r>
    </w:p>
    <w:p w14:paraId="002EBE4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（一）督促相关企业制定粉状物料扬尘整改方案，完成露天堆放粉状物清理，按需落实苫盖、封闭、抑尘等措施，有效防止产生扬尘。</w:t>
      </w:r>
    </w:p>
    <w:p w14:paraId="674F553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（二）举一反三全面开展扬尘污染综合整治，加强日常监管，依法查处粉状物违规露天堆放行为，确保扬尘污染得到有效遏制。</w:t>
      </w:r>
    </w:p>
    <w:p w14:paraId="4F08A9D7">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20.建筑工地“六个百分百”落实不到位，督察发现，二连浩特市、锡林浩特市、太仆寺旗、乌拉盖管理区5个建筑工地存在物料未苫盖、围挡破损等问题。</w:t>
      </w:r>
    </w:p>
    <w:p w14:paraId="0DAD7848">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二连浩特市、锡林浩特市、太仆寺旗、乌拉盖管理区党委</w:t>
      </w:r>
      <w:r>
        <w:rPr>
          <w:rFonts w:hint="eastAsia" w:ascii="华文仿宋" w:hAnsi="华文仿宋" w:eastAsia="华文仿宋" w:cs="华文仿宋"/>
          <w:b/>
          <w:bCs/>
          <w:color w:val="auto"/>
          <w:sz w:val="32"/>
          <w:szCs w:val="32"/>
          <w:highlight w:val="none"/>
          <w:u w:val="none" w:color="auto"/>
          <w:lang w:val="en-US" w:eastAsia="zh-CN"/>
        </w:rPr>
        <w:t>（党工委）</w:t>
      </w:r>
      <w:r>
        <w:rPr>
          <w:rFonts w:hint="eastAsia" w:ascii="华文仿宋" w:hAnsi="华文仿宋" w:eastAsia="华文仿宋" w:cs="华文仿宋"/>
          <w:b/>
          <w:bCs/>
          <w:color w:val="auto"/>
          <w:kern w:val="2"/>
          <w:sz w:val="32"/>
          <w:szCs w:val="32"/>
          <w:highlight w:val="none"/>
          <w:u w:val="none" w:color="auto"/>
          <w:lang w:val="en-US" w:eastAsia="zh-CN" w:bidi="ar-SA"/>
        </w:rPr>
        <w:t>和政府（管委会）</w:t>
      </w:r>
    </w:p>
    <w:p w14:paraId="75F4765B">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盟住建局</w:t>
      </w:r>
    </w:p>
    <w:p w14:paraId="131FDEA6">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严格落实建筑工地“六个百分百”要求，2025年1月底前完成施工工地围挡‌、物料堆放苫盖‌。</w:t>
      </w:r>
    </w:p>
    <w:p w14:paraId="2684955F">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2025年1月底</w:t>
      </w:r>
    </w:p>
    <w:p w14:paraId="016F5F1A">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（一）督促项目单位2025年1月底前完善围挡、物料苫盖设施，严防裸露物料产生扬尘。</w:t>
      </w:r>
    </w:p>
    <w:p w14:paraId="54E4AC98">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（二）加强建筑工地规范管理，落实“六个百分百”要求，实现安全、环保、高质量施工建设。‌</w:t>
      </w:r>
    </w:p>
    <w:p w14:paraId="25C561B3">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黑体" w:hAnsi="黑体" w:eastAsia="黑体" w:cs="黑体"/>
          <w:b/>
          <w:bCs/>
          <w:color w:val="auto"/>
          <w:kern w:val="2"/>
          <w:sz w:val="32"/>
          <w:szCs w:val="32"/>
          <w:highlight w:val="none"/>
          <w:u w:val="none" w:color="auto"/>
          <w:lang w:val="en-US" w:eastAsia="zh-CN" w:bidi="ar-SA"/>
        </w:rPr>
      </w:pPr>
      <w:r>
        <w:rPr>
          <w:rFonts w:hint="eastAsia" w:ascii="黑体" w:hAnsi="黑体" w:eastAsia="黑体" w:cs="黑体"/>
          <w:b/>
          <w:bCs/>
          <w:color w:val="auto"/>
          <w:kern w:val="2"/>
          <w:sz w:val="32"/>
          <w:szCs w:val="32"/>
          <w:highlight w:val="none"/>
          <w:u w:val="none" w:color="auto"/>
          <w:lang w:val="en-US" w:eastAsia="zh-CN" w:bidi="ar-SA"/>
        </w:rPr>
        <w:t>十、移动源污染治理不到位</w:t>
      </w:r>
    </w:p>
    <w:p w14:paraId="41375A52">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楷体" w:hAnsi="华文楷体" w:eastAsia="华文楷体" w:cs="华文楷体"/>
          <w:b/>
          <w:bCs/>
          <w:color w:val="auto"/>
          <w:kern w:val="2"/>
          <w:sz w:val="32"/>
          <w:szCs w:val="32"/>
          <w:highlight w:val="none"/>
          <w:u w:val="none" w:color="auto"/>
          <w:lang w:val="en-US" w:eastAsia="zh-CN" w:bidi="ar-SA"/>
        </w:rPr>
      </w:pPr>
      <w:r>
        <w:rPr>
          <w:rFonts w:hint="eastAsia" w:ascii="华文楷体" w:hAnsi="华文楷体" w:eastAsia="华文楷体" w:cs="华文楷体"/>
          <w:b/>
          <w:bCs/>
          <w:color w:val="auto"/>
          <w:kern w:val="2"/>
          <w:sz w:val="32"/>
          <w:szCs w:val="32"/>
          <w:highlight w:val="none"/>
          <w:u w:val="none" w:color="auto"/>
          <w:lang w:val="en-US" w:eastAsia="zh-CN" w:bidi="ar-SA"/>
        </w:rPr>
        <w:t>2</w:t>
      </w:r>
      <w:r>
        <w:rPr>
          <w:rFonts w:hint="eastAsia" w:ascii="华文仿宋" w:hAnsi="华文仿宋" w:eastAsia="华文仿宋" w:cs="华文仿宋"/>
          <w:b/>
          <w:bCs/>
          <w:color w:val="auto"/>
          <w:kern w:val="2"/>
          <w:sz w:val="32"/>
          <w:szCs w:val="32"/>
          <w:highlight w:val="none"/>
          <w:u w:val="none" w:color="auto"/>
          <w:lang w:val="en-US" w:eastAsia="zh-CN" w:bidi="ar-SA"/>
        </w:rPr>
        <w:t>1.机动车尾气检测管理不严，督察发现，镶黄旗、太仆寺旗、锡林浩特市3家检测企业存在遮挡号牌、检测设备未定期校准和未按规范要求使用发动机转速传感器等违规操作问题。</w:t>
      </w:r>
    </w:p>
    <w:p w14:paraId="18DB0EF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锡林浩特市、镶黄旗、太仆寺旗党委和政府</w:t>
      </w:r>
    </w:p>
    <w:p w14:paraId="0CBAC45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盟生态环境局、市场监管局</w:t>
      </w:r>
    </w:p>
    <w:p w14:paraId="10E9C6D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完成违规问题整改，依法查处违规行为。</w:t>
      </w:r>
    </w:p>
    <w:p w14:paraId="54ABDAF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2025年12月底</w:t>
      </w:r>
    </w:p>
    <w:p w14:paraId="43F75F7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kern w:val="2"/>
          <w:sz w:val="32"/>
          <w:szCs w:val="32"/>
          <w:highlight w:val="yellow"/>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（一）督促3家机构2025年12月底前完成整改并依法处理遮挡号牌、检测设备未定期校准和未按规范要求使用发动机转速传感器等违规操作问题，做好日常监测规范管理。</w:t>
      </w:r>
    </w:p>
    <w:p w14:paraId="67AA5F2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华文仿宋" w:hAnsi="华文仿宋" w:eastAsia="华文仿宋" w:cs="华文仿宋"/>
          <w:b/>
          <w:bCs/>
          <w:color w:val="auto"/>
          <w:kern w:val="2"/>
          <w:sz w:val="32"/>
          <w:szCs w:val="32"/>
          <w:highlight w:val="none"/>
          <w:u w:val="none" w:color="auto"/>
          <w:lang w:val="en-US" w:eastAsia="zh-CN" w:bidi="ar-SA"/>
        </w:rPr>
        <w:t>（二）盟旗两级加强执法监管，严查虚假检验、违规操作等问题，依法规范机动车检验市场。</w:t>
      </w:r>
    </w:p>
    <w:p w14:paraId="53237393">
      <w:pPr>
        <w:pStyle w:val="2"/>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22.国三及以下重型柴油车淘汰工作进展缓慢，自治区要求到2025年，全区基本淘汰国三及以下柴油货车，截至督察进驻，全盟已淘汰1133辆，淘汰比例仅为46.56%。</w:t>
      </w:r>
    </w:p>
    <w:p w14:paraId="59193F2D">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各旗县市（区）党委（党工委）和政府（管委会）</w:t>
      </w:r>
    </w:p>
    <w:p w14:paraId="689C3B3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yellow"/>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盟生态环境局、公安局、交通运输局、商务局</w:t>
      </w:r>
    </w:p>
    <w:p w14:paraId="6FB7957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实现国三及以下排放标准重型柴油车应淘尽淘。</w:t>
      </w:r>
    </w:p>
    <w:p w14:paraId="4250F97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2025年12月底</w:t>
      </w:r>
    </w:p>
    <w:p w14:paraId="5E5854D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（一）加强政策宣传引导，鼓励符合条件的老旧柴油车提前淘汰换新，及时兑现落实车辆报废补贴政策。</w:t>
      </w:r>
    </w:p>
    <w:p w14:paraId="40FF720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（二）做好数据筛查比对，对即将达到报废标准的、三个检验周期及以上未检验的柴油货车，敦促车主尽早淘汰报废。</w:t>
      </w:r>
    </w:p>
    <w:p w14:paraId="78DD4DF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（三）采取人工抽测、遥感检测及黑烟抓拍等手段，加强执法监管。</w:t>
      </w:r>
    </w:p>
    <w:p w14:paraId="5724267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黑体" w:hAnsi="黑体" w:eastAsia="黑体" w:cs="黑体"/>
          <w:b/>
          <w:bCs/>
          <w:color w:val="auto"/>
          <w:kern w:val="2"/>
          <w:sz w:val="32"/>
          <w:szCs w:val="32"/>
          <w:highlight w:val="none"/>
          <w:u w:val="none" w:color="auto"/>
          <w:lang w:val="en-US" w:eastAsia="zh-CN" w:bidi="ar-SA"/>
        </w:rPr>
      </w:pPr>
      <w:r>
        <w:rPr>
          <w:rFonts w:hint="eastAsia" w:ascii="黑体" w:hAnsi="黑体" w:eastAsia="黑体" w:cs="黑体"/>
          <w:b/>
          <w:bCs/>
          <w:color w:val="auto"/>
          <w:kern w:val="2"/>
          <w:sz w:val="32"/>
          <w:szCs w:val="32"/>
          <w:highlight w:val="none"/>
          <w:u w:val="none" w:color="auto"/>
          <w:lang w:val="en-US" w:eastAsia="zh-CN" w:bidi="ar-SA"/>
        </w:rPr>
        <w:t>十一、水污染防治仍存弱项</w:t>
      </w:r>
    </w:p>
    <w:p w14:paraId="11693F8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楷体" w:hAnsi="华文楷体" w:eastAsia="华文楷体" w:cs="华文楷体"/>
          <w:b/>
          <w:bCs/>
          <w:color w:val="auto"/>
          <w:kern w:val="2"/>
          <w:sz w:val="32"/>
          <w:szCs w:val="32"/>
          <w:highlight w:val="yellow"/>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23.生活污水收集处理设施建设运行仍有不足，锡林浩特市1家污水处理厂设计处理能力为4万吨/天，部分时段超出设计处理能力的20%。</w:t>
      </w:r>
    </w:p>
    <w:p w14:paraId="3F21F4F1">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锡林浩特市党委和政府</w:t>
      </w:r>
    </w:p>
    <w:p w14:paraId="63AFEB49">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盟住建局、生态环境局</w:t>
      </w:r>
    </w:p>
    <w:p w14:paraId="326361F4">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加强城镇污水收集处理设施运行管理，保障设施稳定运行、达标排放。</w:t>
      </w:r>
    </w:p>
    <w:p w14:paraId="7D9824F9">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立行立改，长期坚持</w:t>
      </w:r>
    </w:p>
    <w:p w14:paraId="6F4FE0E5">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（一）实施滨河路（锡林大街—玖苑胡同）污水引流管道工程，将旧城区部分区域市政污水引流新区污水处理厂集中处理，降低旧区污水处理厂运行负荷。</w:t>
      </w:r>
    </w:p>
    <w:p w14:paraId="4E71233D">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（二）统筹调配新旧区两座污水处理厂纳管水量，有效解决新绿源污水处理厂超负荷运行问题，确保城镇生活污水应收尽收。</w:t>
      </w:r>
    </w:p>
    <w:p w14:paraId="5530EEC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华文仿宋" w:hAnsi="华文仿宋" w:eastAsia="华文仿宋" w:cs="华文仿宋"/>
          <w:b/>
          <w:bCs/>
          <w:color w:val="auto"/>
          <w:kern w:val="2"/>
          <w:sz w:val="32"/>
          <w:szCs w:val="32"/>
          <w:highlight w:val="none"/>
          <w:u w:val="none" w:color="auto"/>
          <w:lang w:val="en-US" w:eastAsia="zh-CN" w:bidi="ar-SA"/>
        </w:rPr>
        <w:t>（三）实施北五街与海四路交汇处污水井改造工程，将该排水口改造为污水检查井，封闭此处明渠，切实解决该处污水外溢问题。</w:t>
      </w:r>
    </w:p>
    <w:p w14:paraId="48AA310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楷体" w:hAnsi="华文楷体" w:eastAsia="华文楷体" w:cs="华文楷体"/>
          <w:b/>
          <w:bCs/>
          <w:color w:val="auto"/>
          <w:kern w:val="2"/>
          <w:sz w:val="32"/>
          <w:szCs w:val="32"/>
          <w:highlight w:val="yellow"/>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24.苏尼特右旗城镇污水处理厂应急事故池违规存蓄污水；正镶白旗城镇污水处理厂2023年以来，在未增加处理能力的情况下，新增排水住户1400户，超负荷运行时将污水存入应急池并未及时腾空。</w:t>
      </w:r>
    </w:p>
    <w:p w14:paraId="4DB4EF9B">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苏尼特右旗、正镶白旗党委和政府</w:t>
      </w:r>
    </w:p>
    <w:p w14:paraId="0F793E95">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盟住建局、生态环境局</w:t>
      </w:r>
    </w:p>
    <w:p w14:paraId="2707916B">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强化城镇污水处理设施运行管理，确保事故应急池在非事故情形下保持常空状态，有效发挥应急调蓄作用。</w:t>
      </w:r>
    </w:p>
    <w:p w14:paraId="558AAC06">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立行立改，长期坚持</w:t>
      </w:r>
    </w:p>
    <w:p w14:paraId="2F1E5D5D">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苏尼特右旗政府安排更换适合低水位吸水泵，将事故应急池所有废水全部抽出；正镶白旗政府组织将事故应急池污水连续提升至污水厂进水端，与市政污水混合生化处理，做好进出水量调控，确保出水水质达标排放。</w:t>
      </w:r>
    </w:p>
    <w:p w14:paraId="398D6D94">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华文仿宋" w:hAnsi="华文仿宋" w:eastAsia="华文仿宋" w:cs="华文仿宋"/>
          <w:b/>
          <w:bCs/>
          <w:color w:val="auto"/>
          <w:kern w:val="2"/>
          <w:sz w:val="32"/>
          <w:szCs w:val="32"/>
          <w:highlight w:val="none"/>
          <w:u w:val="none" w:color="auto"/>
          <w:lang w:val="en-US" w:eastAsia="zh-CN" w:bidi="ar-SA"/>
        </w:rPr>
        <w:t>（二）指导属地政府加强日常监管力度，严格按照处置流程和标准处理城镇污水，防止非事故状态下事故应急池长期大量存蓄废水，有效发挥应急调蓄作用。</w:t>
      </w:r>
    </w:p>
    <w:p w14:paraId="0964D696">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黑体" w:hAnsi="黑体" w:eastAsia="黑体" w:cs="黑体"/>
          <w:b/>
          <w:bCs/>
          <w:color w:val="auto"/>
          <w:kern w:val="2"/>
          <w:sz w:val="32"/>
          <w:szCs w:val="32"/>
          <w:highlight w:val="none"/>
          <w:u w:val="none" w:color="auto"/>
          <w:lang w:val="en-US" w:eastAsia="zh-CN" w:bidi="ar-SA"/>
        </w:rPr>
      </w:pPr>
      <w:r>
        <w:rPr>
          <w:rFonts w:hint="eastAsia" w:ascii="黑体" w:hAnsi="黑体" w:eastAsia="黑体" w:cs="黑体"/>
          <w:b/>
          <w:bCs/>
          <w:color w:val="auto"/>
          <w:kern w:val="2"/>
          <w:sz w:val="32"/>
          <w:szCs w:val="32"/>
          <w:highlight w:val="none"/>
          <w:u w:val="none" w:color="auto"/>
          <w:lang w:val="en-US" w:eastAsia="zh-CN" w:bidi="ar-SA"/>
        </w:rPr>
        <w:t>十二、雨污管网改造系统性谋划不足</w:t>
      </w:r>
    </w:p>
    <w:p w14:paraId="16D0274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Times New Roman" w:eastAsia="仿宋_GB2312" w:cs="Times New Roman"/>
          <w:b/>
          <w:bCs/>
          <w:color w:val="auto"/>
          <w:sz w:val="32"/>
          <w:szCs w:val="32"/>
          <w:highlight w:val="none"/>
          <w:u w:val="none" w:color="auto"/>
          <w:lang w:val="en-US" w:eastAsia="zh-CN"/>
        </w:rPr>
      </w:pPr>
      <w:r>
        <w:rPr>
          <w:rFonts w:hint="eastAsia" w:ascii="华文楷体" w:hAnsi="华文楷体" w:eastAsia="华文楷体" w:cs="华文楷体"/>
          <w:b/>
          <w:bCs/>
          <w:color w:val="auto"/>
          <w:kern w:val="2"/>
          <w:sz w:val="32"/>
          <w:szCs w:val="32"/>
          <w:highlight w:val="none"/>
          <w:u w:val="none" w:color="auto"/>
          <w:lang w:val="en-US" w:eastAsia="zh-CN" w:bidi="ar-SA"/>
        </w:rPr>
        <w:t>25.</w:t>
      </w:r>
      <w:r>
        <w:rPr>
          <w:rFonts w:hint="eastAsia" w:ascii="华文仿宋" w:hAnsi="华文仿宋" w:eastAsia="华文仿宋" w:cs="华文仿宋"/>
          <w:b/>
          <w:bCs/>
          <w:color w:val="auto"/>
          <w:kern w:val="2"/>
          <w:sz w:val="32"/>
          <w:szCs w:val="32"/>
          <w:highlight w:val="none"/>
          <w:u w:val="none" w:color="auto"/>
          <w:lang w:val="en-US" w:eastAsia="zh-CN" w:bidi="ar-SA"/>
        </w:rPr>
        <w:t>督察发现，锡林郭勒盟雨污管网改造缺乏系统化研判、系统性实施。锡林浩特市于2024年才启动总体管网普查工作，数据显示建成区内有管网混接、错接点位2582处，需修复管网25公里，杭盖路雨污管网改造工程计划于2025年底完工，但目前仅完成工程量的5%；苏尼特左旗在2021年将“苏尼特左旗满都拉镇雨水管网建设工程列入当地市政基础设施建设工程“十四五”规划，但至今未实施；苏尼特右旗赛汗塔拉镇城镇管网雨污混流，污水处理厂满负荷运行，未采取有效治理措施。</w:t>
      </w:r>
    </w:p>
    <w:p w14:paraId="684B5E32">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锡林浩特市、苏尼特左旗、苏尼特右旗党委和政府</w:t>
      </w:r>
    </w:p>
    <w:p w14:paraId="4F706317">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盟住建局、生态环境局</w:t>
      </w:r>
    </w:p>
    <w:p w14:paraId="68504CF7">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统筹谋划实施建成区防洪排涝、雨水泵站、雨水管网建设改造工程，提升城市雨污管网建设运行水平。</w:t>
      </w:r>
    </w:p>
    <w:p w14:paraId="0EA4E2D4">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2026年12月底</w:t>
      </w:r>
    </w:p>
    <w:p w14:paraId="24DBA596">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（一）锡林浩特市政府在前期工作基础上，对建成区内的雨污水管网开展详细普查，利用管道机器人、管道影像等技术，摸清建成区内雨污管线混流错接问题。2025年</w:t>
      </w:r>
      <w:r>
        <w:rPr>
          <w:rFonts w:hint="default" w:ascii="华文仿宋" w:hAnsi="华文仿宋" w:eastAsia="华文仿宋" w:cs="华文仿宋"/>
          <w:b/>
          <w:bCs/>
          <w:color w:val="auto"/>
          <w:kern w:val="2"/>
          <w:sz w:val="32"/>
          <w:szCs w:val="32"/>
          <w:highlight w:val="none"/>
          <w:u w:val="none" w:color="auto"/>
          <w:lang w:val="en" w:eastAsia="zh-CN" w:bidi="ar-SA"/>
        </w:rPr>
        <w:t>12月底前完成</w:t>
      </w:r>
      <w:r>
        <w:rPr>
          <w:rFonts w:hint="eastAsia" w:ascii="华文仿宋" w:hAnsi="华文仿宋" w:eastAsia="华文仿宋" w:cs="华文仿宋"/>
          <w:b/>
          <w:bCs/>
          <w:color w:val="auto"/>
          <w:kern w:val="2"/>
          <w:sz w:val="32"/>
          <w:szCs w:val="32"/>
          <w:highlight w:val="none"/>
          <w:u w:val="none" w:color="auto"/>
          <w:lang w:val="en-US" w:eastAsia="zh-CN" w:bidi="ar-SA"/>
        </w:rPr>
        <w:t>建成区防洪排涝、雨水泵站、雨污水管道等工程，2026年底前</w:t>
      </w:r>
      <w:r>
        <w:rPr>
          <w:rFonts w:hint="default" w:ascii="华文仿宋" w:hAnsi="华文仿宋" w:eastAsia="华文仿宋" w:cs="华文仿宋"/>
          <w:b/>
          <w:bCs/>
          <w:color w:val="auto"/>
          <w:kern w:val="2"/>
          <w:sz w:val="32"/>
          <w:szCs w:val="32"/>
          <w:highlight w:val="none"/>
          <w:u w:val="none" w:color="auto"/>
          <w:lang w:val="en" w:eastAsia="zh-CN" w:bidi="ar-SA"/>
        </w:rPr>
        <w:t>完成</w:t>
      </w:r>
      <w:r>
        <w:rPr>
          <w:rFonts w:hint="eastAsia" w:ascii="华文仿宋" w:hAnsi="华文仿宋" w:eastAsia="华文仿宋" w:cs="华文仿宋"/>
          <w:b/>
          <w:bCs/>
          <w:color w:val="auto"/>
          <w:kern w:val="2"/>
          <w:sz w:val="32"/>
          <w:szCs w:val="32"/>
          <w:highlight w:val="none"/>
          <w:u w:val="none" w:color="auto"/>
          <w:lang w:val="en-US" w:eastAsia="zh-CN" w:bidi="ar-SA"/>
        </w:rPr>
        <w:t>建成区内管网混接、错接点位修复改造，提升城市雨污管网建设运行水平。</w:t>
      </w:r>
    </w:p>
    <w:p w14:paraId="4D2DD0DE">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（二）苏尼特左旗政府启动实施满都拉图镇排水防涝二期工程，加快前期手续办理工作，多渠道争取上级资金支持，加快推进项目建设</w:t>
      </w:r>
      <w:r>
        <w:rPr>
          <w:rFonts w:hint="default" w:ascii="华文仿宋" w:hAnsi="华文仿宋" w:eastAsia="华文仿宋" w:cs="华文仿宋"/>
          <w:b/>
          <w:bCs/>
          <w:color w:val="auto"/>
          <w:kern w:val="2"/>
          <w:sz w:val="32"/>
          <w:szCs w:val="32"/>
          <w:highlight w:val="none"/>
          <w:u w:val="none" w:color="auto"/>
          <w:lang w:val="en" w:eastAsia="zh-CN" w:bidi="ar-SA"/>
        </w:rPr>
        <w:t>，</w:t>
      </w:r>
      <w:r>
        <w:rPr>
          <w:rFonts w:hint="eastAsia" w:ascii="华文仿宋" w:hAnsi="华文仿宋" w:eastAsia="华文仿宋" w:cs="华文仿宋"/>
          <w:b/>
          <w:bCs/>
          <w:color w:val="auto"/>
          <w:kern w:val="2"/>
          <w:sz w:val="32"/>
          <w:szCs w:val="32"/>
          <w:highlight w:val="none"/>
          <w:u w:val="none" w:color="auto"/>
          <w:lang w:val="en-US" w:eastAsia="zh-CN" w:bidi="ar-SA"/>
        </w:rPr>
        <w:t>2025年</w:t>
      </w:r>
      <w:r>
        <w:rPr>
          <w:rFonts w:hint="default" w:ascii="华文仿宋" w:hAnsi="华文仿宋" w:eastAsia="华文仿宋" w:cs="华文仿宋"/>
          <w:b/>
          <w:bCs/>
          <w:color w:val="auto"/>
          <w:kern w:val="2"/>
          <w:sz w:val="32"/>
          <w:szCs w:val="32"/>
          <w:highlight w:val="none"/>
          <w:u w:val="none" w:color="auto"/>
          <w:lang w:val="en" w:eastAsia="zh-CN" w:bidi="ar-SA"/>
        </w:rPr>
        <w:t>12月底</w:t>
      </w:r>
      <w:r>
        <w:rPr>
          <w:rFonts w:hint="eastAsia" w:ascii="华文仿宋" w:hAnsi="华文仿宋" w:eastAsia="华文仿宋" w:cs="华文仿宋"/>
          <w:b/>
          <w:bCs/>
          <w:color w:val="auto"/>
          <w:kern w:val="2"/>
          <w:sz w:val="32"/>
          <w:szCs w:val="32"/>
          <w:highlight w:val="none"/>
          <w:u w:val="none" w:color="auto"/>
          <w:lang w:val="en-US" w:eastAsia="zh-CN" w:bidi="ar-SA"/>
        </w:rPr>
        <w:t>前开工建设</w:t>
      </w:r>
      <w:r>
        <w:rPr>
          <w:rFonts w:hint="default" w:ascii="华文仿宋" w:hAnsi="华文仿宋" w:eastAsia="华文仿宋" w:cs="华文仿宋"/>
          <w:b/>
          <w:bCs/>
          <w:color w:val="auto"/>
          <w:kern w:val="2"/>
          <w:sz w:val="32"/>
          <w:szCs w:val="32"/>
          <w:highlight w:val="none"/>
          <w:u w:val="none" w:color="auto"/>
          <w:lang w:val="en" w:eastAsia="zh-CN" w:bidi="ar-SA"/>
        </w:rPr>
        <w:t>，计划</w:t>
      </w:r>
      <w:r>
        <w:rPr>
          <w:rFonts w:hint="eastAsia" w:ascii="华文仿宋" w:hAnsi="华文仿宋" w:eastAsia="华文仿宋" w:cs="华文仿宋"/>
          <w:b/>
          <w:bCs/>
          <w:color w:val="auto"/>
          <w:kern w:val="2"/>
          <w:sz w:val="32"/>
          <w:szCs w:val="32"/>
          <w:highlight w:val="none"/>
          <w:u w:val="none" w:color="auto"/>
          <w:lang w:val="en-US" w:eastAsia="zh-CN" w:bidi="ar-SA"/>
        </w:rPr>
        <w:t>完成工程量的50%，</w:t>
      </w:r>
      <w:r>
        <w:rPr>
          <w:rFonts w:hint="default" w:ascii="华文仿宋" w:hAnsi="华文仿宋" w:eastAsia="华文仿宋" w:cs="华文仿宋"/>
          <w:b/>
          <w:bCs/>
          <w:color w:val="auto"/>
          <w:kern w:val="2"/>
          <w:sz w:val="32"/>
          <w:szCs w:val="32"/>
          <w:highlight w:val="none"/>
          <w:u w:val="none" w:color="auto"/>
          <w:lang w:val="en" w:eastAsia="zh-CN" w:bidi="ar-SA"/>
        </w:rPr>
        <w:t>力争</w:t>
      </w:r>
      <w:r>
        <w:rPr>
          <w:rFonts w:hint="eastAsia" w:ascii="华文仿宋" w:hAnsi="华文仿宋" w:eastAsia="华文仿宋" w:cs="华文仿宋"/>
          <w:b/>
          <w:bCs/>
          <w:color w:val="auto"/>
          <w:kern w:val="2"/>
          <w:sz w:val="32"/>
          <w:szCs w:val="32"/>
          <w:highlight w:val="none"/>
          <w:u w:val="none" w:color="auto"/>
          <w:lang w:val="en-US" w:eastAsia="zh-CN" w:bidi="ar-SA"/>
        </w:rPr>
        <w:t>2026年</w:t>
      </w:r>
      <w:r>
        <w:rPr>
          <w:rFonts w:hint="default" w:ascii="华文仿宋" w:hAnsi="华文仿宋" w:eastAsia="华文仿宋" w:cs="华文仿宋"/>
          <w:b/>
          <w:bCs/>
          <w:color w:val="auto"/>
          <w:kern w:val="2"/>
          <w:sz w:val="32"/>
          <w:szCs w:val="32"/>
          <w:highlight w:val="none"/>
          <w:u w:val="none" w:color="auto"/>
          <w:lang w:val="en" w:eastAsia="zh-CN" w:bidi="ar-SA"/>
        </w:rPr>
        <w:t>12月底</w:t>
      </w:r>
      <w:r>
        <w:rPr>
          <w:rFonts w:hint="eastAsia" w:ascii="华文仿宋" w:hAnsi="华文仿宋" w:eastAsia="华文仿宋" w:cs="华文仿宋"/>
          <w:b/>
          <w:bCs/>
          <w:color w:val="auto"/>
          <w:kern w:val="2"/>
          <w:sz w:val="32"/>
          <w:szCs w:val="32"/>
          <w:highlight w:val="none"/>
          <w:u w:val="none" w:color="auto"/>
          <w:lang w:val="en-US" w:eastAsia="zh-CN" w:bidi="ar-SA"/>
        </w:rPr>
        <w:t>前</w:t>
      </w:r>
      <w:r>
        <w:rPr>
          <w:rFonts w:hint="default" w:ascii="华文仿宋" w:hAnsi="华文仿宋" w:eastAsia="华文仿宋" w:cs="华文仿宋"/>
          <w:b/>
          <w:bCs/>
          <w:color w:val="auto"/>
          <w:kern w:val="2"/>
          <w:sz w:val="32"/>
          <w:szCs w:val="32"/>
          <w:highlight w:val="none"/>
          <w:u w:val="none" w:color="auto"/>
          <w:lang w:val="en" w:eastAsia="zh-CN" w:bidi="ar-SA"/>
        </w:rPr>
        <w:t>建成投运</w:t>
      </w:r>
      <w:r>
        <w:rPr>
          <w:rFonts w:hint="eastAsia" w:ascii="华文仿宋" w:hAnsi="华文仿宋" w:eastAsia="华文仿宋" w:cs="华文仿宋"/>
          <w:b/>
          <w:bCs/>
          <w:color w:val="auto"/>
          <w:kern w:val="2"/>
          <w:sz w:val="32"/>
          <w:szCs w:val="32"/>
          <w:highlight w:val="none"/>
          <w:u w:val="none" w:color="auto"/>
          <w:lang w:val="en-US" w:eastAsia="zh-CN" w:bidi="ar-SA"/>
        </w:rPr>
        <w:t>。</w:t>
      </w:r>
    </w:p>
    <w:p w14:paraId="4AFA8BC8">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（三）苏尼特右旗政府启动实施排水防涝工程，加快雨污分流管网建设改造，完善赛汉塔拉镇内排水管线，2025年7月底前完成前期手续办理，2025年</w:t>
      </w:r>
      <w:r>
        <w:rPr>
          <w:rFonts w:hint="default" w:ascii="华文仿宋" w:hAnsi="华文仿宋" w:eastAsia="华文仿宋" w:cs="华文仿宋"/>
          <w:b/>
          <w:bCs/>
          <w:color w:val="auto"/>
          <w:kern w:val="2"/>
          <w:sz w:val="32"/>
          <w:szCs w:val="32"/>
          <w:highlight w:val="none"/>
          <w:u w:val="none" w:color="auto"/>
          <w:lang w:val="en" w:eastAsia="zh-CN" w:bidi="ar-SA"/>
        </w:rPr>
        <w:t>12月底</w:t>
      </w:r>
      <w:r>
        <w:rPr>
          <w:rFonts w:hint="eastAsia" w:ascii="华文仿宋" w:hAnsi="华文仿宋" w:eastAsia="华文仿宋" w:cs="华文仿宋"/>
          <w:b/>
          <w:bCs/>
          <w:color w:val="auto"/>
          <w:kern w:val="2"/>
          <w:sz w:val="32"/>
          <w:szCs w:val="32"/>
          <w:highlight w:val="none"/>
          <w:u w:val="none" w:color="auto"/>
          <w:lang w:val="en-US" w:eastAsia="zh-CN" w:bidi="ar-SA"/>
        </w:rPr>
        <w:t>前开工建设</w:t>
      </w:r>
      <w:r>
        <w:rPr>
          <w:rFonts w:hint="default" w:ascii="华文仿宋" w:hAnsi="华文仿宋" w:eastAsia="华文仿宋" w:cs="华文仿宋"/>
          <w:b/>
          <w:bCs/>
          <w:color w:val="auto"/>
          <w:kern w:val="2"/>
          <w:sz w:val="32"/>
          <w:szCs w:val="32"/>
          <w:highlight w:val="none"/>
          <w:u w:val="none" w:color="auto"/>
          <w:lang w:val="en" w:eastAsia="zh-CN" w:bidi="ar-SA"/>
        </w:rPr>
        <w:t>，计划</w:t>
      </w:r>
      <w:r>
        <w:rPr>
          <w:rFonts w:hint="eastAsia" w:ascii="华文仿宋" w:hAnsi="华文仿宋" w:eastAsia="华文仿宋" w:cs="华文仿宋"/>
          <w:b/>
          <w:bCs/>
          <w:color w:val="auto"/>
          <w:kern w:val="2"/>
          <w:sz w:val="32"/>
          <w:szCs w:val="32"/>
          <w:highlight w:val="none"/>
          <w:u w:val="none" w:color="auto"/>
          <w:lang w:val="en-US" w:eastAsia="zh-CN" w:bidi="ar-SA"/>
        </w:rPr>
        <w:t>完成工程量的40%</w:t>
      </w:r>
      <w:r>
        <w:rPr>
          <w:rFonts w:hint="default" w:ascii="华文仿宋" w:hAnsi="华文仿宋" w:eastAsia="华文仿宋" w:cs="华文仿宋"/>
          <w:b/>
          <w:bCs/>
          <w:color w:val="auto"/>
          <w:kern w:val="2"/>
          <w:sz w:val="32"/>
          <w:szCs w:val="32"/>
          <w:highlight w:val="none"/>
          <w:u w:val="none" w:color="auto"/>
          <w:lang w:val="en" w:eastAsia="zh-CN" w:bidi="ar-SA"/>
        </w:rPr>
        <w:t>，</w:t>
      </w:r>
      <w:r>
        <w:rPr>
          <w:rFonts w:hint="eastAsia" w:ascii="华文仿宋" w:hAnsi="华文仿宋" w:eastAsia="华文仿宋" w:cs="华文仿宋"/>
          <w:b/>
          <w:bCs/>
          <w:color w:val="auto"/>
          <w:kern w:val="2"/>
          <w:sz w:val="32"/>
          <w:szCs w:val="32"/>
          <w:highlight w:val="none"/>
          <w:u w:val="none" w:color="auto"/>
          <w:lang w:val="en-US" w:eastAsia="zh-CN" w:bidi="ar-SA"/>
        </w:rPr>
        <w:t>2026年</w:t>
      </w:r>
      <w:r>
        <w:rPr>
          <w:rFonts w:hint="default" w:ascii="华文仿宋" w:hAnsi="华文仿宋" w:eastAsia="华文仿宋" w:cs="华文仿宋"/>
          <w:b/>
          <w:bCs/>
          <w:color w:val="auto"/>
          <w:kern w:val="2"/>
          <w:sz w:val="32"/>
          <w:szCs w:val="32"/>
          <w:highlight w:val="none"/>
          <w:u w:val="none" w:color="auto"/>
          <w:lang w:val="en" w:eastAsia="zh-CN" w:bidi="ar-SA"/>
        </w:rPr>
        <w:t>12月底</w:t>
      </w:r>
      <w:r>
        <w:rPr>
          <w:rFonts w:hint="eastAsia" w:ascii="华文仿宋" w:hAnsi="华文仿宋" w:eastAsia="华文仿宋" w:cs="华文仿宋"/>
          <w:b/>
          <w:bCs/>
          <w:color w:val="auto"/>
          <w:kern w:val="2"/>
          <w:sz w:val="32"/>
          <w:szCs w:val="32"/>
          <w:highlight w:val="none"/>
          <w:u w:val="none" w:color="auto"/>
          <w:lang w:val="en-US" w:eastAsia="zh-CN" w:bidi="ar-SA"/>
        </w:rPr>
        <w:t>前</w:t>
      </w:r>
      <w:r>
        <w:rPr>
          <w:rFonts w:hint="default" w:ascii="华文仿宋" w:hAnsi="华文仿宋" w:eastAsia="华文仿宋" w:cs="华文仿宋"/>
          <w:b/>
          <w:bCs/>
          <w:color w:val="auto"/>
          <w:kern w:val="2"/>
          <w:sz w:val="32"/>
          <w:szCs w:val="32"/>
          <w:highlight w:val="none"/>
          <w:u w:val="none" w:color="auto"/>
          <w:lang w:val="en" w:eastAsia="zh-CN" w:bidi="ar-SA"/>
        </w:rPr>
        <w:t>建设完成</w:t>
      </w:r>
      <w:r>
        <w:rPr>
          <w:rFonts w:hint="eastAsia" w:ascii="华文仿宋" w:hAnsi="华文仿宋" w:eastAsia="华文仿宋" w:cs="华文仿宋"/>
          <w:b/>
          <w:bCs/>
          <w:color w:val="auto"/>
          <w:kern w:val="2"/>
          <w:sz w:val="32"/>
          <w:szCs w:val="32"/>
          <w:highlight w:val="none"/>
          <w:u w:val="none" w:color="auto"/>
          <w:lang w:val="en-US" w:eastAsia="zh-CN" w:bidi="ar-SA"/>
        </w:rPr>
        <w:t>；同时，尽快推动污水处理厂扩建工程投运，切实解决污水处理厂长期满负荷运行问题。</w:t>
      </w:r>
    </w:p>
    <w:p w14:paraId="6CDAC72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黑体" w:hAnsi="黑体" w:eastAsia="黑体" w:cs="黑体"/>
          <w:b/>
          <w:bCs/>
          <w:color w:val="auto"/>
          <w:kern w:val="2"/>
          <w:sz w:val="32"/>
          <w:szCs w:val="32"/>
          <w:highlight w:val="none"/>
          <w:u w:val="none" w:color="auto"/>
          <w:lang w:val="en-US" w:eastAsia="zh-CN" w:bidi="ar-SA"/>
        </w:rPr>
      </w:pPr>
      <w:r>
        <w:rPr>
          <w:rFonts w:hint="eastAsia" w:ascii="黑体" w:hAnsi="黑体" w:eastAsia="黑体" w:cs="黑体"/>
          <w:b/>
          <w:bCs/>
          <w:color w:val="auto"/>
          <w:kern w:val="2"/>
          <w:sz w:val="32"/>
          <w:szCs w:val="32"/>
          <w:highlight w:val="none"/>
          <w:u w:val="none" w:color="auto"/>
          <w:lang w:val="en-US" w:eastAsia="zh-CN" w:bidi="ar-SA"/>
        </w:rPr>
        <w:t>十三、生活垃圾处置管理不到位</w:t>
      </w:r>
    </w:p>
    <w:p w14:paraId="6CA96866">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highlight w:val="none"/>
          <w:u w:val="none" w:color="auto"/>
          <w:lang w:eastAsia="zh-CN"/>
        </w:rPr>
      </w:pPr>
      <w:r>
        <w:rPr>
          <w:rFonts w:hint="eastAsia" w:ascii="华文仿宋" w:hAnsi="华文仿宋" w:eastAsia="华文仿宋" w:cs="华文仿宋"/>
          <w:b/>
          <w:bCs/>
          <w:color w:val="auto"/>
          <w:kern w:val="2"/>
          <w:sz w:val="32"/>
          <w:szCs w:val="32"/>
          <w:highlight w:val="none"/>
          <w:u w:val="none" w:color="auto"/>
          <w:lang w:val="en-US" w:eastAsia="zh-CN" w:bidi="ar-SA"/>
        </w:rPr>
        <w:t>26.垃圾填埋场处置能力不足，阿巴嘎旗、苏尼特右旗、正蓝旗、苏尼特左旗垃圾填埋场2年内将满库容。</w:t>
      </w:r>
    </w:p>
    <w:p w14:paraId="79172049">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各旗县市（区）党委（党工委）和政府（管委会）</w:t>
      </w:r>
    </w:p>
    <w:p w14:paraId="06E6B0DF">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盟住建局</w:t>
      </w:r>
    </w:p>
    <w:p w14:paraId="76397EDB">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加强城镇生活垃圾填埋场运行管理，谋划完善城镇生活垃圾处理设施，提升生活垃圾减量化、无害化水平。</w:t>
      </w:r>
    </w:p>
    <w:p w14:paraId="51FB42BA">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2026年12月底</w:t>
      </w:r>
    </w:p>
    <w:p w14:paraId="0041D240">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指导阿巴嘎旗、苏尼特左旗、苏尼特右旗、正蓝旗等4个地区结合人口规模、垃圾产生量等情况，因地制宜，完善城镇生活垃圾填埋场、垃圾焚烧等处理设施，其余9个地区对城镇生活垃圾处理设施进行全面排查，提升生活垃圾治理水平。</w:t>
      </w:r>
    </w:p>
    <w:p w14:paraId="07665A72">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（二）2025年12月底前，阿巴嘎旗政府针对生活垃圾填埋场面临库容饱和封场，制定生活垃圾安全处置计划，做好生活垃圾规范处置。</w:t>
      </w:r>
    </w:p>
    <w:p w14:paraId="1D255596">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楷体" w:hAnsi="华文楷体" w:eastAsia="华文楷体" w:cs="华文楷体"/>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27.除锡林浩特市，其余旗县（市）垃圾填埋场均未安装渗滤液处理排放在线监测设备。</w:t>
      </w:r>
    </w:p>
    <w:p w14:paraId="0C070D9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各旗县市（区）党委（党工委）和政府（管委会）</w:t>
      </w:r>
    </w:p>
    <w:p w14:paraId="71F797B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盟生态环境局、住建局</w:t>
      </w:r>
    </w:p>
    <w:p w14:paraId="627977E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严格按照《生活垃圾填埋场污染控制标准》（GB16889—2024）相关规定，安装渗滤液处理排放在线监测设备，对全盟垃圾填埋场渗滤液处理进行实时监控。</w:t>
      </w:r>
    </w:p>
    <w:p w14:paraId="67ED1EA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default" w:ascii="仿宋_GB2312" w:hAnsi="Times New Roman" w:eastAsia="仿宋_GB2312" w:cs="Times New Roman"/>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2025年9月底</w:t>
      </w:r>
    </w:p>
    <w:p w14:paraId="2F765DD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组织各旗县市（区）政府（管委会）根据环境影响评价报告书批复及《固定污染源排污许可分类管理名录》、《生活垃圾填埋场污染控制标准》（GB16889-2024）要求，2025年8月底前完成渗滤液处理排放在线监测设备安装工作。</w:t>
      </w:r>
    </w:p>
    <w:p w14:paraId="6EBF804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（二）各旗县市（区）政府（管委会）督促规范污染物自动监控设备的安装、调试，严格执行相关排污许可法律法规，2025年9月底前实现污染物自动监控数据实时上传盟生态环境监控中心。</w:t>
      </w:r>
    </w:p>
    <w:p w14:paraId="0401787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outlineLvl w:val="9"/>
        <w:rPr>
          <w:rFonts w:hint="eastAsia" w:ascii="仿宋_GB2312" w:hAnsi="Times New Roman" w:eastAsia="仿宋_GB2312" w:cs="Times New Roman"/>
          <w:b/>
          <w:bCs/>
          <w:color w:val="auto"/>
          <w:sz w:val="32"/>
          <w:szCs w:val="32"/>
          <w:highlight w:val="yellow"/>
          <w:u w:val="none" w:color="auto"/>
          <w:lang w:val="en-US" w:eastAsia="zh-CN"/>
        </w:rPr>
      </w:pPr>
      <w:r>
        <w:rPr>
          <w:rFonts w:hint="eastAsia" w:ascii="华文仿宋" w:hAnsi="华文仿宋" w:eastAsia="华文仿宋" w:cs="华文仿宋"/>
          <w:b/>
          <w:bCs/>
          <w:color w:val="auto"/>
          <w:kern w:val="2"/>
          <w:sz w:val="32"/>
          <w:szCs w:val="32"/>
          <w:highlight w:val="none"/>
          <w:u w:val="none" w:color="auto"/>
          <w:lang w:val="en-US" w:eastAsia="zh-CN" w:bidi="ar-SA"/>
        </w:rPr>
        <w:t>（三）各旗县市（区）政府（管委会）督促责任主体进行自行监测，对没有在线监测技术规范的污染物进行手工监测，监测频率不少于每月1次。</w:t>
      </w:r>
    </w:p>
    <w:p w14:paraId="2003871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highlight w:val="none"/>
          <w:u w:val="none" w:color="auto"/>
          <w:lang w:val="en-US" w:eastAsia="zh-CN"/>
        </w:rPr>
      </w:pPr>
      <w:r>
        <w:rPr>
          <w:rFonts w:hint="eastAsia" w:ascii="华文仿宋" w:hAnsi="华文仿宋" w:eastAsia="华文仿宋" w:cs="华文仿宋"/>
          <w:b/>
          <w:bCs/>
          <w:color w:val="auto"/>
          <w:kern w:val="2"/>
          <w:sz w:val="32"/>
          <w:szCs w:val="32"/>
          <w:highlight w:val="none"/>
          <w:u w:val="none" w:color="auto"/>
          <w:lang w:val="en-US" w:eastAsia="zh-CN" w:bidi="ar-SA"/>
        </w:rPr>
        <w:t>28.生活垃圾填埋场渗滤液处理设施运行监管不到位，截至督察进驻，全盟积存渗滤液尚未全部得到有效处理。</w:t>
      </w:r>
    </w:p>
    <w:p w14:paraId="08469604">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各旗县市（区）党委（党工委）和政府（管委会）</w:t>
      </w:r>
    </w:p>
    <w:p w14:paraId="49F545ED">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盟住建局、生态环境局</w:t>
      </w:r>
    </w:p>
    <w:p w14:paraId="36416810">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加强城镇生活垃圾填埋场渗滤液处理设施运行管理，确保规范稳定运行。</w:t>
      </w:r>
    </w:p>
    <w:p w14:paraId="72C46081">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highlight w:val="none"/>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2025年12月底</w:t>
      </w:r>
    </w:p>
    <w:p w14:paraId="4BFEC34D">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（一）属地政府组织制定分类整改措施，完成渗滤液收集池清理工作。</w:t>
      </w:r>
    </w:p>
    <w:p w14:paraId="7B26616C">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（二）属地政府组织规范生活垃圾填埋场运行管理，通过改造提升或租赁渗滤液处理设备等方式提升渗滤液处理能力，确保渗滤液有效处理。</w:t>
      </w:r>
    </w:p>
    <w:p w14:paraId="5D96577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黑体" w:hAnsi="黑体" w:eastAsia="黑体" w:cs="黑体"/>
          <w:b/>
          <w:bCs/>
          <w:color w:val="auto"/>
          <w:kern w:val="2"/>
          <w:sz w:val="32"/>
          <w:szCs w:val="32"/>
          <w:highlight w:val="none"/>
          <w:u w:val="none" w:color="auto"/>
          <w:lang w:val="en-US" w:eastAsia="zh-CN" w:bidi="ar-SA"/>
        </w:rPr>
      </w:pPr>
      <w:r>
        <w:rPr>
          <w:rFonts w:hint="eastAsia" w:ascii="黑体" w:hAnsi="黑体" w:eastAsia="黑体" w:cs="黑体"/>
          <w:b/>
          <w:bCs/>
          <w:color w:val="auto"/>
          <w:kern w:val="2"/>
          <w:sz w:val="32"/>
          <w:szCs w:val="32"/>
          <w:highlight w:val="none"/>
          <w:u w:val="none" w:color="auto"/>
          <w:lang w:val="en-US" w:eastAsia="zh-CN" w:bidi="ar-SA"/>
        </w:rPr>
        <w:t>十四、固废处置管理仍有不足</w:t>
      </w:r>
    </w:p>
    <w:p w14:paraId="17F5CA9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楷体" w:hAnsi="华文楷体" w:eastAsia="华文楷体" w:cs="华文楷体"/>
          <w:b/>
          <w:bCs/>
          <w:color w:val="auto"/>
          <w:kern w:val="2"/>
          <w:sz w:val="32"/>
          <w:szCs w:val="32"/>
          <w:highlight w:val="none"/>
          <w:u w:val="none" w:color="auto"/>
          <w:lang w:val="en-US" w:eastAsia="zh-CN" w:bidi="ar-SA"/>
        </w:rPr>
        <w:t>29</w:t>
      </w:r>
      <w:r>
        <w:rPr>
          <w:rFonts w:hint="eastAsia" w:ascii="华文仿宋" w:hAnsi="华文仿宋" w:eastAsia="华文仿宋" w:cs="华文仿宋"/>
          <w:b/>
          <w:bCs/>
          <w:color w:val="auto"/>
          <w:kern w:val="2"/>
          <w:sz w:val="32"/>
          <w:szCs w:val="32"/>
          <w:highlight w:val="none"/>
          <w:u w:val="none" w:color="auto"/>
          <w:lang w:val="en-US" w:eastAsia="zh-CN" w:bidi="ar-SA"/>
        </w:rPr>
        <w:t>.工业固废资源化利用不足，全盟工业固废资源化利用途径单一，利用深度、广度不够，2021—2023年一般工业固体废物综合利用率平均41%，低于全区平均水平。</w:t>
      </w:r>
    </w:p>
    <w:p w14:paraId="73A8A798">
      <w:pPr>
        <w:keepNext w:val="0"/>
        <w:keepLines w:val="0"/>
        <w:pageBreakBefore w:val="0"/>
        <w:widowControl w:val="0"/>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楷体_GB2312" w:hAnsi="楷体_GB2312" w:eastAsia="楷体_GB2312" w:cs="楷体_GB2312"/>
          <w:b/>
          <w:bCs/>
          <w:color w:val="auto"/>
          <w:kern w:val="0"/>
          <w:sz w:val="32"/>
          <w:szCs w:val="32"/>
          <w:highlight w:val="none"/>
          <w:u w:val="none" w:color="auto"/>
          <w:lang w:val="en-US" w:eastAsia="zh-CN" w:bidi="ar"/>
        </w:rPr>
      </w:pPr>
      <w:r>
        <w:rPr>
          <w:rFonts w:hint="eastAsia" w:ascii="黑体" w:hAnsi="黑体" w:eastAsia="黑体" w:cs="黑体"/>
          <w:b/>
          <w:bCs/>
          <w:color w:val="auto"/>
          <w:kern w:val="0"/>
          <w:sz w:val="32"/>
          <w:szCs w:val="32"/>
          <w:highlight w:val="none"/>
          <w:u w:val="none" w:color="auto"/>
          <w:lang w:val="en-US" w:eastAsia="zh-CN" w:bidi="ar"/>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各旗县市（区）党委（党工委）和政府（管委会）</w:t>
      </w:r>
    </w:p>
    <w:p w14:paraId="037E40A8">
      <w:pPr>
        <w:keepNext w:val="0"/>
        <w:keepLines w:val="0"/>
        <w:pageBreakBefore w:val="0"/>
        <w:widowControl w:val="0"/>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highlight w:val="yellow"/>
          <w:u w:val="none" w:color="auto"/>
          <w:lang w:val="en-US" w:eastAsia="zh-CN"/>
        </w:rPr>
      </w:pPr>
      <w:r>
        <w:rPr>
          <w:rFonts w:hint="eastAsia" w:ascii="黑体" w:hAnsi="黑体" w:eastAsia="黑体" w:cs="黑体"/>
          <w:b/>
          <w:bCs/>
          <w:color w:val="auto"/>
          <w:kern w:val="0"/>
          <w:sz w:val="32"/>
          <w:szCs w:val="32"/>
          <w:highlight w:val="none"/>
          <w:u w:val="none" w:color="auto"/>
          <w:lang w:val="en-US" w:eastAsia="zh-CN" w:bidi="ar"/>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盟工信局、发改委、能源局、生态环境局</w:t>
      </w:r>
    </w:p>
    <w:p w14:paraId="1D17BBE9">
      <w:pPr>
        <w:keepNext w:val="0"/>
        <w:keepLines w:val="0"/>
        <w:pageBreakBefore w:val="0"/>
        <w:widowControl w:val="0"/>
        <w:suppressLineNumbers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eastAsia="zh-CN"/>
        </w:rPr>
      </w:pPr>
      <w:r>
        <w:rPr>
          <w:rFonts w:hint="eastAsia" w:ascii="仿宋_GB2312" w:hAnsi="仿宋_GB2312" w:eastAsia="黑体" w:cs="仿宋_GB2312"/>
          <w:b/>
          <w:bCs/>
          <w:color w:val="auto"/>
          <w:sz w:val="32"/>
          <w:szCs w:val="32"/>
          <w:u w:val="none" w:color="auto"/>
          <w:lang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通过资源化利用、生态化处置等方式，多措并举提升工业固废综合利用率。</w:t>
      </w:r>
    </w:p>
    <w:p w14:paraId="07F7B1F6">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仿宋_GB2312" w:eastAsia="黑体" w:cs="仿宋_GB2312"/>
          <w:b/>
          <w:bCs/>
          <w:color w:val="auto"/>
          <w:sz w:val="32"/>
          <w:szCs w:val="32"/>
          <w:u w:val="none" w:color="auto"/>
          <w:lang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2025年12月底</w:t>
      </w:r>
    </w:p>
    <w:p w14:paraId="288FBDFB">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黑体" w:hAnsi="黑体" w:eastAsia="黑体" w:cs="黑体"/>
          <w:b/>
          <w:bCs/>
          <w:color w:val="auto"/>
          <w:sz w:val="32"/>
          <w:szCs w:val="32"/>
          <w:u w:val="none" w:color="auto"/>
          <w:lang w:val="en-US" w:eastAsia="zh-CN"/>
        </w:rPr>
        <w:t>整改措施</w:t>
      </w:r>
      <w:r>
        <w:rPr>
          <w:rFonts w:hint="eastAsia" w:ascii="仿宋_GB2312" w:hAnsi="仿宋_GB2312" w:eastAsia="黑体" w:cs="仿宋_GB2312"/>
          <w:b/>
          <w:bCs/>
          <w:color w:val="auto"/>
          <w:sz w:val="32"/>
          <w:szCs w:val="32"/>
          <w:u w:val="none" w:color="auto"/>
          <w:lang w:eastAsia="zh-CN"/>
        </w:rPr>
        <w:t>：</w:t>
      </w:r>
      <w:r>
        <w:rPr>
          <w:rFonts w:hint="eastAsia" w:ascii="华文仿宋" w:hAnsi="华文仿宋" w:eastAsia="华文仿宋" w:cs="华文仿宋"/>
          <w:b/>
          <w:bCs/>
          <w:color w:val="auto"/>
          <w:kern w:val="2"/>
          <w:sz w:val="32"/>
          <w:szCs w:val="32"/>
          <w:highlight w:val="none"/>
          <w:u w:val="none" w:color="auto"/>
          <w:lang w:val="en-US" w:eastAsia="zh-CN" w:bidi="ar-SA"/>
        </w:rPr>
        <w:t>（一）组织各旗县市（区）加大工业固废综合利用项目招商引资力度，鼓励开展大宗固废外运消纳，多渠道提升工业固废消纳综合利用水平。</w:t>
      </w:r>
    </w:p>
    <w:p w14:paraId="2A2FE4E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（二）加大执法监管力度，鼓励和支持利用符合标准的尾矿、煤矸石、粉煤灰等工业固体废物，规范对废弃矿坑、矿井采空区等进行回填或者充填利用。</w:t>
      </w:r>
    </w:p>
    <w:p w14:paraId="25F11453">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（三）压实产废企业消纳责任，从源头减少尾矿、煤矸石、粉煤灰、炉渣、脱硫石膏、冶炼废渣等工业固体废物的产生量和贮存量。</w:t>
      </w:r>
    </w:p>
    <w:p w14:paraId="2A326B59">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default"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（四）督促产废企业做好年报申报工作，规范如实记录产生工业固体废物信息。</w:t>
      </w:r>
    </w:p>
    <w:p w14:paraId="481CE2F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黑体" w:hAnsi="黑体" w:eastAsia="黑体" w:cs="黑体"/>
          <w:b/>
          <w:bCs/>
          <w:color w:val="auto"/>
          <w:kern w:val="2"/>
          <w:sz w:val="32"/>
          <w:szCs w:val="32"/>
          <w:highlight w:val="none"/>
          <w:u w:val="none" w:color="auto"/>
          <w:lang w:val="en-US" w:eastAsia="zh-CN" w:bidi="ar-SA"/>
        </w:rPr>
      </w:pPr>
      <w:r>
        <w:rPr>
          <w:rFonts w:hint="eastAsia" w:ascii="黑体" w:hAnsi="黑体" w:eastAsia="黑体" w:cs="黑体"/>
          <w:b/>
          <w:bCs/>
          <w:color w:val="auto"/>
          <w:kern w:val="2"/>
          <w:sz w:val="32"/>
          <w:szCs w:val="32"/>
          <w:highlight w:val="none"/>
          <w:u w:val="none" w:color="auto"/>
          <w:lang w:val="en-US" w:eastAsia="zh-CN" w:bidi="ar-SA"/>
        </w:rPr>
        <w:t>十五、建筑垃圾管理粗放</w:t>
      </w:r>
    </w:p>
    <w:p w14:paraId="5DFB310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strike w:val="0"/>
          <w:dstrike w:val="0"/>
          <w:color w:val="auto"/>
          <w:sz w:val="32"/>
          <w:szCs w:val="32"/>
          <w:highlight w:val="none"/>
          <w:u w:val="none" w:color="auto"/>
          <w:lang w:eastAsia="zh-CN"/>
        </w:rPr>
      </w:pPr>
      <w:r>
        <w:rPr>
          <w:rFonts w:hint="eastAsia" w:ascii="华文仿宋" w:hAnsi="华文仿宋" w:eastAsia="华文仿宋" w:cs="华文仿宋"/>
          <w:b/>
          <w:bCs/>
          <w:color w:val="auto"/>
          <w:kern w:val="2"/>
          <w:sz w:val="32"/>
          <w:szCs w:val="32"/>
          <w:highlight w:val="none"/>
          <w:u w:val="none" w:color="auto"/>
          <w:lang w:val="en-US" w:eastAsia="zh-CN" w:bidi="ar-SA"/>
        </w:rPr>
        <w:t>30.正蓝旗等11个旗县（市）均未制定出台建筑垃圾污染环境防治工作规划，其中阿巴嘎旗等7个旗县（市）未建设规范的建筑垃圾消纳设施，目前仅采取临时堆存方式处理建筑垃圾，截至督察进驻，相关旗县（市）仍未启动规范建筑垃圾消纳设施建设工作。</w:t>
      </w:r>
    </w:p>
    <w:p w14:paraId="54A636E0">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各旗县市（区）党委（党工委）和政府（管委会）</w:t>
      </w:r>
    </w:p>
    <w:p w14:paraId="7E543F03">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盟住建局</w:t>
      </w:r>
    </w:p>
    <w:p w14:paraId="66FE7051">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加快专项规划编制，统筹规划建设城镇建筑垃圾消纳设施，规范建筑垃圾消纳处置。</w:t>
      </w:r>
    </w:p>
    <w:p w14:paraId="3FA3CA48">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2026年12月底</w:t>
      </w:r>
    </w:p>
    <w:p w14:paraId="46657582">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（一）2025年12月底前，指导正蓝旗等11个旗县市（区）政府（管委会）结合本地区实际，编制建筑垃圾污染环境防治工作规划。</w:t>
      </w:r>
    </w:p>
    <w:p w14:paraId="6E94981D">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Times New Roman" w:eastAsia="仿宋_GB2312" w:cs="Times New Roman"/>
          <w:b/>
          <w:bCs/>
          <w:color w:val="auto"/>
          <w:sz w:val="32"/>
          <w:szCs w:val="32"/>
          <w:highlight w:val="none"/>
          <w:u w:val="none" w:color="auto"/>
          <w:lang w:val="en-US" w:eastAsia="zh-CN"/>
        </w:rPr>
      </w:pPr>
      <w:r>
        <w:rPr>
          <w:rFonts w:hint="eastAsia" w:ascii="华文仿宋" w:hAnsi="华文仿宋" w:eastAsia="华文仿宋" w:cs="华文仿宋"/>
          <w:b/>
          <w:bCs/>
          <w:color w:val="auto"/>
          <w:kern w:val="2"/>
          <w:sz w:val="32"/>
          <w:szCs w:val="32"/>
          <w:highlight w:val="none"/>
          <w:u w:val="none" w:color="auto"/>
          <w:lang w:val="en-US" w:eastAsia="zh-CN" w:bidi="ar-SA"/>
        </w:rPr>
        <w:t>（二）阿巴嘎旗等7个旗县市（区）加快启动城镇建筑垃圾消纳设施规划建设工作，实现建筑垃圾规范消纳处置。</w:t>
      </w:r>
    </w:p>
    <w:p w14:paraId="7D97E10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楷体" w:hAnsi="华文楷体" w:eastAsia="华文楷体" w:cs="华文楷体"/>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31.乱堆乱倒现象时有发生，2023年以来全盟共查处乱堆乱倒建筑垃圾违法案件107件，督察发现，多伦县、太仆寺旗等6个旗县（市）10处随意倾倒建筑垃圾点位。</w:t>
      </w:r>
    </w:p>
    <w:p w14:paraId="3B167507">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锡林浩特市、西乌珠穆沁旗、苏尼特右旗、镶黄旗、太仆寺旗、多伦县党委和政府</w:t>
      </w:r>
    </w:p>
    <w:p w14:paraId="5F0B2564">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盟住建局、生态环境局、林草局、公安局</w:t>
      </w:r>
    </w:p>
    <w:p w14:paraId="0D535830">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锡林浩特市、西乌珠穆沁旗、苏尼特右旗、镶黄旗、太仆寺旗、多伦县完成10处随意倾倒建筑垃圾点位整改工作。健全建筑垃圾全过程管理制度，加强建筑垃圾乱堆乱倒日常监管。</w:t>
      </w:r>
    </w:p>
    <w:p w14:paraId="2F246715">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sz w:val="32"/>
          <w:szCs w:val="32"/>
          <w:u w:val="none" w:color="auto"/>
          <w:lang w:val="en-US"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2025年12月底</w:t>
      </w:r>
    </w:p>
    <w:p w14:paraId="08E1E947">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多伦县、太仆寺旗、锡林浩特市、苏尼特右旗、西乌珠穆沁旗、镶黄旗政府切实履行属地监管责任，组织相关部门，依法依规查处10处随意倾倒建筑垃圾问题，并督促责任主体对随意倾倒建筑垃圾点位及时进行清理。</w:t>
      </w:r>
    </w:p>
    <w:p w14:paraId="0131CEA4">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华文仿宋" w:hAnsi="华文仿宋" w:eastAsia="华文仿宋" w:cs="华文仿宋"/>
          <w:b/>
          <w:bCs/>
          <w:color w:val="auto"/>
          <w:kern w:val="2"/>
          <w:sz w:val="32"/>
          <w:szCs w:val="32"/>
          <w:highlight w:val="none"/>
          <w:u w:val="none" w:color="auto"/>
          <w:lang w:val="en-US" w:eastAsia="zh-CN" w:bidi="ar-SA"/>
        </w:rPr>
      </w:pPr>
      <w:r>
        <w:rPr>
          <w:rFonts w:hint="eastAsia" w:ascii="华文仿宋" w:hAnsi="华文仿宋" w:eastAsia="华文仿宋" w:cs="华文仿宋"/>
          <w:b/>
          <w:bCs/>
          <w:color w:val="auto"/>
          <w:kern w:val="2"/>
          <w:sz w:val="32"/>
          <w:szCs w:val="32"/>
          <w:highlight w:val="none"/>
          <w:u w:val="none" w:color="auto"/>
          <w:lang w:val="en-US" w:eastAsia="zh-CN" w:bidi="ar-SA"/>
        </w:rPr>
        <w:t>（二）健全建筑垃圾全过程管理制度，举一反三，加强建筑垃圾乱堆乱倒日常监管，对发现的相关违规违法行为及时进行清理整治。</w:t>
      </w:r>
    </w:p>
    <w:p w14:paraId="45EE6A65">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黑体" w:hAnsi="黑体" w:eastAsia="黑体" w:cs="黑体"/>
          <w:b/>
          <w:bCs/>
          <w:color w:val="auto"/>
          <w:kern w:val="2"/>
          <w:sz w:val="32"/>
          <w:szCs w:val="32"/>
          <w:highlight w:val="none"/>
          <w:u w:val="none" w:color="auto"/>
          <w:lang w:val="en-US" w:eastAsia="zh-CN" w:bidi="ar-SA"/>
        </w:rPr>
      </w:pPr>
      <w:r>
        <w:rPr>
          <w:rFonts w:hint="eastAsia" w:ascii="黑体" w:hAnsi="黑体" w:eastAsia="黑体" w:cs="黑体"/>
          <w:b/>
          <w:bCs/>
          <w:color w:val="auto"/>
          <w:sz w:val="32"/>
          <w:szCs w:val="32"/>
          <w:highlight w:val="none"/>
          <w:u w:val="none" w:color="auto"/>
          <w:lang w:eastAsia="zh-CN"/>
        </w:rPr>
        <w:t>十六、规模化</w:t>
      </w:r>
      <w:r>
        <w:rPr>
          <w:rFonts w:hint="eastAsia" w:ascii="黑体" w:hAnsi="黑体" w:eastAsia="黑体" w:cs="黑体"/>
          <w:b/>
          <w:bCs/>
          <w:color w:val="auto"/>
          <w:kern w:val="2"/>
          <w:sz w:val="32"/>
          <w:szCs w:val="32"/>
          <w:highlight w:val="none"/>
          <w:u w:val="none" w:color="auto"/>
          <w:lang w:val="en-US" w:eastAsia="zh-CN" w:bidi="ar-SA"/>
        </w:rPr>
        <w:t>畜禽养殖污染防控不力</w:t>
      </w:r>
    </w:p>
    <w:p w14:paraId="68892599">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jc w:val="both"/>
        <w:textAlignment w:val="auto"/>
        <w:rPr>
          <w:rFonts w:hint="eastAsia" w:ascii="仿宋_GB2312" w:hAnsi="仿宋_GB2312" w:eastAsia="仿宋_GB2312" w:cs="仿宋_GB2312"/>
          <w:b/>
          <w:bCs/>
          <w:color w:val="auto"/>
          <w:kern w:val="2"/>
          <w:sz w:val="32"/>
          <w:szCs w:val="32"/>
          <w:highlight w:val="none"/>
          <w:u w:val="none" w:color="auto"/>
          <w:lang w:val="en-US" w:eastAsia="zh-CN" w:bidi="ar-SA"/>
        </w:rPr>
      </w:pPr>
      <w:r>
        <w:rPr>
          <w:rFonts w:hint="eastAsia" w:ascii="华文楷体" w:hAnsi="华文楷体" w:eastAsia="华文楷体" w:cs="华文楷体"/>
          <w:b/>
          <w:bCs/>
          <w:color w:val="auto"/>
          <w:kern w:val="2"/>
          <w:sz w:val="32"/>
          <w:szCs w:val="32"/>
          <w:highlight w:val="none"/>
          <w:u w:val="none" w:color="auto"/>
          <w:lang w:val="en-US" w:eastAsia="zh-CN" w:bidi="ar-SA"/>
        </w:rPr>
        <w:t>32.</w:t>
      </w:r>
      <w:r>
        <w:rPr>
          <w:rFonts w:hint="eastAsia" w:ascii="华文仿宋" w:hAnsi="华文仿宋" w:eastAsia="华文仿宋" w:cs="华文仿宋"/>
          <w:b/>
          <w:bCs/>
          <w:color w:val="auto"/>
          <w:kern w:val="2"/>
          <w:sz w:val="32"/>
          <w:szCs w:val="32"/>
          <w:highlight w:val="none"/>
          <w:u w:val="none" w:color="auto"/>
          <w:lang w:val="en-US" w:eastAsia="zh-CN" w:bidi="ar-SA"/>
        </w:rPr>
        <w:t>《畜禽规模养殖污染防治条例》要求“畜禽养殖场、养殖小区应当根据养殖规模和污染防治需要，建设相应的畜禽粪便、污水与雨水分流设施和贮存设施”。督察发现，锡林郭勒盟1家企业露天堆放粪污约150立方米，1个良种肉牛扩繁基地存栏量1600头，露天堆放粪污约100立方米。</w:t>
      </w:r>
    </w:p>
    <w:p w14:paraId="4218B338">
      <w:pPr>
        <w:keepNext w:val="0"/>
        <w:keepLines w:val="0"/>
        <w:pageBreakBefore w:val="0"/>
        <w:widowControl w:val="0"/>
        <w:kinsoku w:val="0"/>
        <w:wordWrap/>
        <w:overflowPunct/>
        <w:topLinePunct w:val="0"/>
        <w:autoSpaceDE w:val="0"/>
        <w:autoSpaceDN w:val="0"/>
        <w:bidi w:val="0"/>
        <w:adjustRightInd w:val="0"/>
        <w:snapToGrid w:val="0"/>
        <w:spacing w:line="600" w:lineRule="exact"/>
        <w:ind w:left="0" w:leftChars="0" w:firstLine="643" w:firstLineChars="200"/>
        <w:jc w:val="both"/>
        <w:textAlignment w:val="baseline"/>
        <w:rPr>
          <w:rFonts w:hint="eastAsia" w:ascii="仿宋_GB2312" w:hAnsi="仿宋_GB2312" w:eastAsia="仿宋_GB2312" w:cs="仿宋_GB2312"/>
          <w:b/>
          <w:bCs/>
          <w:color w:val="auto"/>
          <w:sz w:val="32"/>
          <w:szCs w:val="32"/>
          <w:u w:val="none" w:color="auto"/>
          <w:lang w:eastAsia="zh-CN"/>
        </w:rPr>
      </w:pPr>
      <w:r>
        <w:rPr>
          <w:rFonts w:hint="eastAsia" w:ascii="仿宋_GB2312" w:hAnsi="Times New Roman" w:eastAsia="黑体" w:cs="Times New Roman"/>
          <w:b/>
          <w:bCs/>
          <w:color w:val="auto"/>
          <w:sz w:val="32"/>
          <w:szCs w:val="32"/>
          <w:highlight w:val="none"/>
          <w:u w:val="none" w:color="auto"/>
          <w:lang w:val="en-US" w:eastAsia="zh-CN"/>
        </w:rPr>
        <w:t>责任单位：</w:t>
      </w:r>
      <w:r>
        <w:rPr>
          <w:rFonts w:hint="eastAsia" w:ascii="华文仿宋" w:hAnsi="华文仿宋" w:eastAsia="华文仿宋" w:cs="华文仿宋"/>
          <w:b/>
          <w:bCs/>
          <w:color w:val="auto"/>
          <w:kern w:val="2"/>
          <w:sz w:val="32"/>
          <w:szCs w:val="32"/>
          <w:highlight w:val="none"/>
          <w:u w:val="none" w:color="auto"/>
          <w:lang w:val="en-US" w:eastAsia="zh-CN" w:bidi="ar-SA"/>
        </w:rPr>
        <w:t>东乌珠穆沁旗、太仆寺旗党委和政府</w:t>
      </w:r>
    </w:p>
    <w:p w14:paraId="66187F42">
      <w:pPr>
        <w:keepNext w:val="0"/>
        <w:keepLines w:val="0"/>
        <w:pageBreakBefore w:val="0"/>
        <w:widowControl w:val="0"/>
        <w:kinsoku w:val="0"/>
        <w:wordWrap/>
        <w:overflowPunct/>
        <w:topLinePunct w:val="0"/>
        <w:autoSpaceDE w:val="0"/>
        <w:autoSpaceDN w:val="0"/>
        <w:bidi w:val="0"/>
        <w:adjustRightInd w:val="0"/>
        <w:snapToGrid w:val="0"/>
        <w:spacing w:line="600" w:lineRule="exact"/>
        <w:ind w:left="0" w:leftChars="0" w:firstLine="643" w:firstLineChars="200"/>
        <w:jc w:val="both"/>
        <w:textAlignment w:val="baseline"/>
        <w:rPr>
          <w:rFonts w:hint="eastAsia" w:ascii="仿宋_GB2312" w:hAnsi="仿宋_GB2312" w:eastAsia="仿宋_GB2312" w:cs="仿宋_GB2312"/>
          <w:b/>
          <w:bCs/>
          <w:color w:val="auto"/>
          <w:sz w:val="32"/>
          <w:szCs w:val="32"/>
          <w:u w:val="none" w:color="auto"/>
        </w:rPr>
      </w:pPr>
      <w:r>
        <w:rPr>
          <w:rFonts w:hint="eastAsia" w:ascii="仿宋_GB2312" w:hAnsi="Times New Roman" w:eastAsia="黑体" w:cs="Times New Roman"/>
          <w:b/>
          <w:bCs/>
          <w:color w:val="auto"/>
          <w:sz w:val="32"/>
          <w:szCs w:val="32"/>
          <w:highlight w:val="none"/>
          <w:u w:val="none" w:color="auto"/>
          <w:lang w:val="en-US" w:eastAsia="zh-CN"/>
        </w:rPr>
        <w:t>验收单位：</w:t>
      </w:r>
      <w:r>
        <w:rPr>
          <w:rFonts w:hint="eastAsia" w:ascii="华文仿宋" w:hAnsi="华文仿宋" w:eastAsia="华文仿宋" w:cs="华文仿宋"/>
          <w:b/>
          <w:bCs/>
          <w:color w:val="auto"/>
          <w:kern w:val="2"/>
          <w:sz w:val="32"/>
          <w:szCs w:val="32"/>
          <w:highlight w:val="none"/>
          <w:u w:val="none" w:color="auto"/>
          <w:lang w:val="en-US" w:eastAsia="zh-CN" w:bidi="ar-SA"/>
        </w:rPr>
        <w:t>盟农牧局、生态环境局</w:t>
      </w:r>
    </w:p>
    <w:p w14:paraId="55759080">
      <w:pPr>
        <w:keepNext w:val="0"/>
        <w:keepLines w:val="0"/>
        <w:pageBreakBefore w:val="0"/>
        <w:widowControl w:val="0"/>
        <w:kinsoku w:val="0"/>
        <w:wordWrap/>
        <w:overflowPunct/>
        <w:topLinePunct w:val="0"/>
        <w:autoSpaceDE w:val="0"/>
        <w:autoSpaceDN w:val="0"/>
        <w:bidi w:val="0"/>
        <w:adjustRightInd w:val="0"/>
        <w:snapToGrid w:val="0"/>
        <w:spacing w:line="600" w:lineRule="exact"/>
        <w:ind w:left="0" w:leftChars="0" w:firstLine="643" w:firstLineChars="200"/>
        <w:jc w:val="both"/>
        <w:textAlignment w:val="baseline"/>
        <w:rPr>
          <w:rFonts w:hint="eastAsia" w:ascii="仿宋_GB2312" w:hAnsi="仿宋_GB2312" w:eastAsia="仿宋_GB2312" w:cs="仿宋_GB2312"/>
          <w:b/>
          <w:bCs/>
          <w:color w:val="auto"/>
          <w:sz w:val="32"/>
          <w:szCs w:val="32"/>
          <w:u w:val="none" w:color="auto"/>
        </w:rPr>
      </w:pPr>
      <w:r>
        <w:rPr>
          <w:rFonts w:hint="eastAsia" w:ascii="仿宋_GB2312" w:hAnsi="Times New Roman" w:eastAsia="黑体" w:cs="Times New Roman"/>
          <w:b/>
          <w:bCs/>
          <w:color w:val="auto"/>
          <w:sz w:val="32"/>
          <w:szCs w:val="32"/>
          <w:highlight w:val="none"/>
          <w:u w:val="none" w:color="auto"/>
          <w:lang w:val="en-US" w:eastAsia="zh-CN"/>
        </w:rPr>
        <w:t>整改目标：</w:t>
      </w:r>
      <w:r>
        <w:rPr>
          <w:rFonts w:hint="eastAsia" w:ascii="华文仿宋" w:hAnsi="华文仿宋" w:eastAsia="华文仿宋" w:cs="华文仿宋"/>
          <w:b/>
          <w:bCs/>
          <w:color w:val="auto"/>
          <w:kern w:val="2"/>
          <w:sz w:val="32"/>
          <w:szCs w:val="32"/>
          <w:highlight w:val="none"/>
          <w:u w:val="none" w:color="auto"/>
          <w:lang w:val="en-US" w:eastAsia="zh-CN" w:bidi="ar-SA"/>
        </w:rPr>
        <w:t>完成露天堆放粪污清运处置，完善养殖场粪污防治设施。</w:t>
      </w:r>
    </w:p>
    <w:p w14:paraId="1C255C3F">
      <w:pPr>
        <w:keepNext w:val="0"/>
        <w:keepLines w:val="0"/>
        <w:pageBreakBefore w:val="0"/>
        <w:widowControl w:val="0"/>
        <w:kinsoku w:val="0"/>
        <w:wordWrap/>
        <w:overflowPunct/>
        <w:topLinePunct w:val="0"/>
        <w:autoSpaceDE w:val="0"/>
        <w:autoSpaceDN w:val="0"/>
        <w:bidi w:val="0"/>
        <w:adjustRightInd w:val="0"/>
        <w:snapToGrid w:val="0"/>
        <w:spacing w:line="600" w:lineRule="exact"/>
        <w:ind w:left="0" w:leftChars="0" w:firstLine="643" w:firstLineChars="200"/>
        <w:jc w:val="both"/>
        <w:textAlignment w:val="baseline"/>
        <w:rPr>
          <w:rFonts w:hint="eastAsia" w:ascii="仿宋" w:hAnsi="仿宋" w:eastAsia="仿宋_GB2312" w:cs="仿宋"/>
          <w:b/>
          <w:bCs/>
          <w:color w:val="auto"/>
          <w:sz w:val="32"/>
          <w:szCs w:val="32"/>
          <w:u w:val="none" w:color="auto"/>
          <w:lang w:eastAsia="zh-CN"/>
        </w:rPr>
      </w:pPr>
      <w:r>
        <w:rPr>
          <w:rFonts w:hint="eastAsia" w:ascii="仿宋_GB2312" w:hAnsi="Times New Roman" w:eastAsia="黑体" w:cs="Times New Roman"/>
          <w:b/>
          <w:bCs/>
          <w:color w:val="auto"/>
          <w:sz w:val="32"/>
          <w:szCs w:val="32"/>
          <w:highlight w:val="none"/>
          <w:u w:val="none" w:color="auto"/>
          <w:lang w:val="en-US" w:eastAsia="zh-CN"/>
        </w:rPr>
        <w:t>整改时限：</w:t>
      </w:r>
      <w:r>
        <w:rPr>
          <w:rFonts w:hint="eastAsia" w:ascii="华文仿宋" w:hAnsi="华文仿宋" w:eastAsia="华文仿宋" w:cs="华文仿宋"/>
          <w:b/>
          <w:bCs/>
          <w:color w:val="auto"/>
          <w:kern w:val="2"/>
          <w:sz w:val="32"/>
          <w:szCs w:val="32"/>
          <w:highlight w:val="none"/>
          <w:u w:val="none" w:color="auto"/>
          <w:lang w:val="en-US" w:eastAsia="zh-CN" w:bidi="ar-SA"/>
        </w:rPr>
        <w:t>2025年6月底</w:t>
      </w:r>
    </w:p>
    <w:p w14:paraId="61A7C8A4">
      <w:pPr>
        <w:keepNext w:val="0"/>
        <w:keepLines w:val="0"/>
        <w:pageBreakBefore w:val="0"/>
        <w:widowControl w:val="0"/>
        <w:kinsoku w:val="0"/>
        <w:wordWrap/>
        <w:overflowPunct/>
        <w:topLinePunct w:val="0"/>
        <w:autoSpaceDE w:val="0"/>
        <w:autoSpaceDN w:val="0"/>
        <w:bidi w:val="0"/>
        <w:adjustRightInd w:val="0"/>
        <w:snapToGrid w:val="0"/>
        <w:spacing w:line="600" w:lineRule="exact"/>
        <w:ind w:left="0" w:leftChars="0" w:firstLine="643" w:firstLineChars="200"/>
        <w:jc w:val="both"/>
        <w:textAlignment w:val="baseline"/>
        <w:rPr>
          <w:rFonts w:hint="eastAsia" w:ascii="华文仿宋" w:hAnsi="华文仿宋" w:eastAsia="华文仿宋" w:cs="华文仿宋"/>
          <w:b/>
          <w:bCs/>
          <w:color w:val="auto"/>
          <w:kern w:val="2"/>
          <w:sz w:val="32"/>
          <w:szCs w:val="32"/>
          <w:highlight w:val="yellow"/>
          <w:u w:val="none" w:color="auto"/>
          <w:lang w:val="en-US" w:eastAsia="zh-CN" w:bidi="ar-SA"/>
        </w:rPr>
      </w:pPr>
      <w:r>
        <w:rPr>
          <w:rFonts w:hint="eastAsia" w:ascii="仿宋_GB2312" w:hAnsi="Times New Roman" w:eastAsia="黑体" w:cs="Times New Roman"/>
          <w:b/>
          <w:bCs/>
          <w:color w:val="auto"/>
          <w:sz w:val="32"/>
          <w:szCs w:val="32"/>
          <w:highlight w:val="none"/>
          <w:u w:val="none" w:color="auto"/>
          <w:lang w:val="en-US" w:eastAsia="zh-CN"/>
        </w:rPr>
        <w:t>整改措施：</w:t>
      </w:r>
      <w:r>
        <w:rPr>
          <w:rFonts w:hint="eastAsia" w:ascii="华文仿宋" w:hAnsi="华文仿宋" w:eastAsia="华文仿宋" w:cs="华文仿宋"/>
          <w:b/>
          <w:bCs/>
          <w:color w:val="auto"/>
          <w:kern w:val="2"/>
          <w:sz w:val="32"/>
          <w:szCs w:val="32"/>
          <w:highlight w:val="none"/>
          <w:u w:val="none" w:color="auto"/>
          <w:lang w:val="en-US" w:eastAsia="zh-CN" w:bidi="ar-SA"/>
        </w:rPr>
        <w:t>（一）东乌珠穆沁旗政府督促企业完成露天堆放粪污清运和规范化处置，按照环评要求在2025年6月底前</w:t>
      </w:r>
      <w:r>
        <w:rPr>
          <w:rFonts w:hint="default" w:ascii="华文仿宋" w:hAnsi="华文仿宋" w:eastAsia="华文仿宋" w:cs="华文仿宋"/>
          <w:b/>
          <w:bCs/>
          <w:color w:val="auto"/>
          <w:kern w:val="2"/>
          <w:sz w:val="32"/>
          <w:szCs w:val="32"/>
          <w:highlight w:val="none"/>
          <w:u w:val="none" w:color="auto"/>
          <w:lang w:val="en-US" w:eastAsia="zh-CN" w:bidi="ar-SA"/>
        </w:rPr>
        <w:t>完善</w:t>
      </w:r>
      <w:r>
        <w:rPr>
          <w:rFonts w:hint="eastAsia" w:ascii="华文仿宋" w:hAnsi="华文仿宋" w:eastAsia="华文仿宋" w:cs="华文仿宋"/>
          <w:b/>
          <w:bCs/>
          <w:color w:val="auto"/>
          <w:kern w:val="2"/>
          <w:sz w:val="32"/>
          <w:szCs w:val="32"/>
          <w:highlight w:val="none"/>
          <w:u w:val="none" w:color="auto"/>
          <w:lang w:val="en-US" w:eastAsia="zh-CN" w:bidi="ar-SA"/>
        </w:rPr>
        <w:t>养殖场粪污收集和雨污分流设施。</w:t>
      </w:r>
    </w:p>
    <w:p w14:paraId="241265E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600" w:lineRule="exact"/>
        <w:ind w:left="0" w:leftChars="0" w:firstLine="643" w:firstLineChars="200"/>
        <w:jc w:val="both"/>
        <w:textAlignment w:val="baseline"/>
        <w:rPr>
          <w:b/>
          <w:bCs/>
        </w:rPr>
      </w:pPr>
      <w:r>
        <w:rPr>
          <w:rFonts w:hint="eastAsia" w:ascii="华文仿宋" w:hAnsi="华文仿宋" w:eastAsia="华文仿宋" w:cs="华文仿宋"/>
          <w:b/>
          <w:bCs/>
          <w:color w:val="auto"/>
          <w:kern w:val="2"/>
          <w:sz w:val="32"/>
          <w:szCs w:val="32"/>
          <w:highlight w:val="none"/>
          <w:u w:val="none" w:color="auto"/>
          <w:lang w:val="en-US" w:eastAsia="zh-CN" w:bidi="ar-SA"/>
        </w:rPr>
        <w:t>（二）太仆寺旗政府督促良种肉牛扩繁基地完成露天堆放粪污清运和规范化处置，按照环评要求在2025年6月底前</w:t>
      </w:r>
      <w:r>
        <w:rPr>
          <w:rFonts w:hint="default" w:ascii="华文仿宋" w:hAnsi="华文仿宋" w:eastAsia="华文仿宋" w:cs="华文仿宋"/>
          <w:b/>
          <w:bCs/>
          <w:color w:val="auto"/>
          <w:kern w:val="2"/>
          <w:sz w:val="32"/>
          <w:szCs w:val="32"/>
          <w:highlight w:val="none"/>
          <w:u w:val="none" w:color="auto"/>
          <w:lang w:val="en-US" w:eastAsia="zh-CN" w:bidi="ar-SA"/>
        </w:rPr>
        <w:t>完善</w:t>
      </w:r>
      <w:r>
        <w:rPr>
          <w:rFonts w:hint="eastAsia" w:ascii="华文仿宋" w:hAnsi="华文仿宋" w:eastAsia="华文仿宋" w:cs="华文仿宋"/>
          <w:b/>
          <w:bCs/>
          <w:color w:val="auto"/>
          <w:kern w:val="2"/>
          <w:sz w:val="32"/>
          <w:szCs w:val="32"/>
          <w:highlight w:val="none"/>
          <w:u w:val="none" w:color="auto"/>
          <w:lang w:val="en-US" w:eastAsia="zh-CN" w:bidi="ar-SA"/>
        </w:rPr>
        <w:t>养殖场粪污收集和雨污分流设施。</w:t>
      </w:r>
    </w:p>
    <w:p w14:paraId="1F5C9D7C">
      <w:bookmarkStart w:id="0" w:name="_GoBack"/>
      <w:bookmarkEnd w:id="0"/>
    </w:p>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Cambria">
    <w:panose1 w:val="02040503050406030204"/>
    <w:charset w:val="00"/>
    <w:family w:val="auto"/>
    <w:pitch w:val="default"/>
    <w:sig w:usb0="E00006FF" w:usb1="420024FF" w:usb2="02000000" w:usb3="00000000" w:csb0="2000019F" w:csb1="00000000"/>
  </w:font>
  <w:font w:name="方正小标宋简体">
    <w:altName w:val="黑体"/>
    <w:panose1 w:val="02000000000000000000"/>
    <w:charset w:val="86"/>
    <w:family w:val="script"/>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华文仿宋">
    <w:altName w:val="仿宋"/>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CF700">
    <w:pPr>
      <w:pStyle w:val="4"/>
      <w:numPr>
        <w:ilvl w:val="0"/>
        <w:numId w:val="0"/>
      </w:numPr>
      <w:ind w:leftChars="0"/>
      <w:jc w:val="both"/>
      <w:rPr>
        <w:rFonts w:ascii="仿宋" w:hAnsi="仿宋" w:eastAsia="仿宋"/>
        <w:sz w:val="24"/>
        <w:szCs w:val="24"/>
      </w:rPr>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987D41F">
                          <w:pPr>
                            <w:pStyle w:val="5"/>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path/>
              <v:fill on="f" focussize="0,0"/>
              <v:stroke on="f" weight="0.5pt"/>
              <v:imagedata o:title=""/>
              <o:lock v:ext="edit" aspectratio="f"/>
              <v:textbox inset="0mm,0mm,0mm,0mm" style="mso-fit-shape-to-text:t;">
                <w:txbxContent>
                  <w:p w14:paraId="2987D41F">
                    <w:pPr>
                      <w:pStyle w:val="5"/>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p w14:paraId="792A38D8">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CF00BF"/>
    <w:multiLevelType w:val="singleLevel"/>
    <w:tmpl w:val="BDCF00BF"/>
    <w:lvl w:ilvl="0" w:tentative="0">
      <w:start w:val="2"/>
      <w:numFmt w:val="chineseCounting"/>
      <w:suff w:val="nothing"/>
      <w:lvlText w:val="（%1）"/>
      <w:lvlJc w:val="left"/>
      <w:rPr>
        <w:rFonts w:hint="eastAsia"/>
      </w:rPr>
    </w:lvl>
  </w:abstractNum>
  <w:abstractNum w:abstractNumId="1">
    <w:nsid w:val="3FA53AAD"/>
    <w:multiLevelType w:val="singleLevel"/>
    <w:tmpl w:val="3FA53AAD"/>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B619C1"/>
    <w:rsid w:val="3EB619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spacing w:line="600" w:lineRule="exact"/>
      <w:ind w:firstLine="640"/>
    </w:pPr>
    <w:rPr>
      <w:szCs w:val="32"/>
    </w:rPr>
  </w:style>
  <w:style w:type="paragraph" w:styleId="3">
    <w:name w:val="Body Text Indent"/>
    <w:basedOn w:val="1"/>
    <w:next w:val="1"/>
    <w:qFormat/>
    <w:uiPriority w:val="0"/>
    <w:pPr>
      <w:spacing w:after="120"/>
      <w:ind w:left="420" w:leftChars="200"/>
    </w:p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toc 2"/>
    <w:basedOn w:val="1"/>
    <w:next w:val="1"/>
    <w:qFormat/>
    <w:uiPriority w:val="0"/>
    <w:pPr>
      <w:ind w:left="210"/>
      <w:jc w:val="left"/>
    </w:pPr>
    <w:rPr>
      <w:smallCaps/>
      <w:sz w:val="20"/>
      <w:szCs w:val="20"/>
    </w:rPr>
  </w:style>
  <w:style w:type="paragraph" w:styleId="6">
    <w:name w:val="Body Text First Indent 2"/>
    <w:basedOn w:val="3"/>
    <w:next w:val="1"/>
    <w:qFormat/>
    <w:uiPriority w:val="0"/>
    <w:pPr>
      <w:ind w:firstLine="420" w:firstLineChars="200"/>
    </w:pPr>
  </w:style>
  <w:style w:type="paragraph" w:customStyle="1" w:styleId="9">
    <w:name w:val="No Spacing"/>
    <w:basedOn w:val="1"/>
    <w:qFormat/>
    <w:uiPriority w:val="1"/>
    <w:pPr>
      <w:widowControl/>
      <w:jc w:val="left"/>
    </w:pPr>
    <w:rPr>
      <w:rFonts w:ascii="Cambria" w:hAnsi="Cambria" w:eastAsia="宋体" w:cs="Times New Roman"/>
      <w:kern w:val="0"/>
      <w:sz w:val="22"/>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26</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2025-02-24T03:41:00Z</dcterms:created>
  <dc:creator>我很好啊、</dc:creator>
  <cp:lastModifiedBy>我很好啊、</cp:lastModifiedBy>
  <dcterms:modified xsi:type="dcterms:W3CDTF">2025-02-24T03:42:05Z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E2851BB63E6C41078EF993C59874BB0D_11</vt:lpwstr>
  </property>
  <property fmtid="{D5CDD505-2E9C-101B-9397-08002B2CF9AE}" pid="4" name="KSOTemplateDocerSaveRecord">
    <vt:lpwstr>eyJoZGlkIjoiNjU2YTkzZjg5MDgwMWQ0ZTE1NGIyZTUxNzc2NGM4NzQiLCJ1c2VySWQiOiIyMDcwNTkwMjcifQ==</vt:lpwstr>
  </property>
</Properties>
</file>